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46" w:rsidRPr="00B16C80" w:rsidRDefault="00833746" w:rsidP="00833746">
      <w:pPr>
        <w:jc w:val="center"/>
        <w:rPr>
          <w:rFonts w:cs="Arial"/>
          <w:b/>
          <w:color w:val="00B050"/>
          <w:sz w:val="36"/>
          <w:szCs w:val="36"/>
          <w:u w:val="single"/>
        </w:rPr>
      </w:pPr>
      <w:r w:rsidRPr="00B16C80">
        <w:rPr>
          <w:b/>
          <w:color w:val="00B050"/>
          <w:sz w:val="36"/>
          <w:szCs w:val="36"/>
          <w:u w:val="single"/>
        </w:rPr>
        <w:t>I</w:t>
      </w:r>
      <w:r>
        <w:rPr>
          <w:b/>
          <w:color w:val="00B050"/>
          <w:sz w:val="36"/>
          <w:szCs w:val="36"/>
          <w:u w:val="single"/>
        </w:rPr>
        <w:t xml:space="preserve">ntensive Therapeutic Transitional Care (ITTC) </w:t>
      </w:r>
      <w:r w:rsidRPr="00B16C80">
        <w:rPr>
          <w:b/>
          <w:color w:val="00B050"/>
          <w:sz w:val="36"/>
          <w:szCs w:val="36"/>
          <w:u w:val="single"/>
        </w:rPr>
        <w:t>Outreach</w:t>
      </w:r>
    </w:p>
    <w:p w:rsidR="00833746" w:rsidRDefault="00833746" w:rsidP="00833746">
      <w:pPr>
        <w:jc w:val="both"/>
        <w:rPr>
          <w:rFonts w:cs="Arial"/>
        </w:rPr>
      </w:pPr>
      <w:r w:rsidRPr="006D4113">
        <w:rPr>
          <w:rFonts w:cs="Arial"/>
        </w:rPr>
        <w:t>This factsheet has be</w:t>
      </w:r>
      <w:bookmarkStart w:id="0" w:name="_GoBack"/>
      <w:bookmarkEnd w:id="0"/>
      <w:r w:rsidRPr="006D4113">
        <w:rPr>
          <w:rFonts w:cs="Arial"/>
        </w:rPr>
        <w:t xml:space="preserve">en developed for use by Department of Communities and Justice (DCJ) </w:t>
      </w:r>
      <w:r>
        <w:rPr>
          <w:rFonts w:cs="Arial"/>
        </w:rPr>
        <w:t xml:space="preserve">staff </w:t>
      </w:r>
      <w:r w:rsidRPr="006D4113">
        <w:rPr>
          <w:rFonts w:cs="Arial"/>
        </w:rPr>
        <w:t xml:space="preserve">as part of the referral process </w:t>
      </w:r>
      <w:r>
        <w:rPr>
          <w:rFonts w:cs="Arial"/>
        </w:rPr>
        <w:t>for outreach services from</w:t>
      </w:r>
      <w:r w:rsidRPr="006D4113">
        <w:rPr>
          <w:rFonts w:cs="Arial"/>
        </w:rPr>
        <w:t xml:space="preserve"> Intensive Therapeutic Transitional Care (ITTC) units. It is intended as a guide only to assist staff understand the different levels of ser</w:t>
      </w:r>
      <w:r>
        <w:rPr>
          <w:rFonts w:cs="Arial"/>
        </w:rPr>
        <w:t>vice provision when making referrals to ITTC units</w:t>
      </w:r>
      <w:r w:rsidRPr="006D4113">
        <w:rPr>
          <w:rFonts w:cs="Arial"/>
        </w:rPr>
        <w:t xml:space="preserve">.  </w:t>
      </w:r>
    </w:p>
    <w:p w:rsidR="00833746" w:rsidRDefault="00833746" w:rsidP="00833746">
      <w:pPr>
        <w:jc w:val="both"/>
        <w:rPr>
          <w:rFonts w:cs="Arial"/>
        </w:rPr>
      </w:pPr>
      <w:r>
        <w:rPr>
          <w:rFonts w:cs="Arial"/>
        </w:rPr>
        <w:t>The factsheet should be read in conjunction with the following documents:</w:t>
      </w:r>
    </w:p>
    <w:p w:rsidR="00833746" w:rsidRPr="000410B3" w:rsidRDefault="00833746" w:rsidP="00833746">
      <w:pPr>
        <w:pStyle w:val="ListParagraph"/>
        <w:numPr>
          <w:ilvl w:val="0"/>
          <w:numId w:val="36"/>
        </w:numPr>
        <w:spacing w:after="160" w:line="259" w:lineRule="auto"/>
        <w:jc w:val="both"/>
        <w:rPr>
          <w:rStyle w:val="Hyperlink"/>
          <w:color w:val="000000" w:themeColor="text1"/>
          <w:u w:val="none"/>
        </w:rPr>
      </w:pPr>
      <w:r w:rsidRPr="000410B3">
        <w:rPr>
          <w:rStyle w:val="Hyperlink"/>
          <w:color w:val="000000" w:themeColor="text1"/>
          <w:u w:val="none"/>
        </w:rPr>
        <w:t>ITTC Outreach Practice Guide (include link once published)</w:t>
      </w:r>
    </w:p>
    <w:p w:rsidR="00833746" w:rsidRPr="00A124B7" w:rsidRDefault="00110690" w:rsidP="00833746">
      <w:pPr>
        <w:pStyle w:val="ListParagraph"/>
        <w:numPr>
          <w:ilvl w:val="0"/>
          <w:numId w:val="36"/>
        </w:numPr>
        <w:spacing w:after="160" w:line="259" w:lineRule="auto"/>
        <w:jc w:val="both"/>
        <w:rPr>
          <w:rStyle w:val="Hyperlink"/>
        </w:rPr>
      </w:pPr>
      <w:hyperlink r:id="rId8" w:history="1">
        <w:r w:rsidR="00833746" w:rsidRPr="00C83436">
          <w:rPr>
            <w:rStyle w:val="Hyperlink"/>
          </w:rPr>
          <w:t>Business Rules: Eligibility Criteria for PSP Service Packages</w:t>
        </w:r>
      </w:hyperlink>
    </w:p>
    <w:p w:rsidR="00833746" w:rsidRDefault="00110690" w:rsidP="00833746">
      <w:pPr>
        <w:pStyle w:val="ListParagraph"/>
        <w:numPr>
          <w:ilvl w:val="0"/>
          <w:numId w:val="36"/>
        </w:numPr>
        <w:spacing w:after="160" w:line="259" w:lineRule="auto"/>
        <w:jc w:val="both"/>
        <w:rPr>
          <w:rFonts w:ascii="Arial" w:hAnsi="Arial" w:cs="Arial"/>
        </w:rPr>
      </w:pPr>
      <w:hyperlink r:id="rId9" w:history="1">
        <w:r w:rsidR="00833746" w:rsidRPr="00A124B7">
          <w:rPr>
            <w:rStyle w:val="Hyperlink"/>
          </w:rPr>
          <w:t>Permanency Case Management Policy - Policy Statement</w:t>
        </w:r>
      </w:hyperlink>
    </w:p>
    <w:p w:rsidR="00833746" w:rsidRDefault="00110690" w:rsidP="00833746">
      <w:pPr>
        <w:pStyle w:val="ListParagraph"/>
        <w:numPr>
          <w:ilvl w:val="0"/>
          <w:numId w:val="36"/>
        </w:numPr>
        <w:spacing w:after="160" w:line="259" w:lineRule="auto"/>
        <w:jc w:val="both"/>
        <w:rPr>
          <w:rFonts w:ascii="Arial" w:hAnsi="Arial" w:cs="Arial"/>
        </w:rPr>
      </w:pPr>
      <w:hyperlink r:id="rId10" w:history="1">
        <w:r w:rsidR="00833746" w:rsidRPr="0014791C">
          <w:rPr>
            <w:rStyle w:val="Hyperlink"/>
          </w:rPr>
          <w:t>Permanency Support Program Appendix 5: Service Overview - Intensive Therapeutic Care (ITC)</w:t>
        </w:r>
      </w:hyperlink>
    </w:p>
    <w:p w:rsidR="00833746" w:rsidRPr="00505D2A" w:rsidRDefault="00110690" w:rsidP="00833746">
      <w:pPr>
        <w:pStyle w:val="ListParagraph"/>
        <w:numPr>
          <w:ilvl w:val="0"/>
          <w:numId w:val="36"/>
        </w:numPr>
        <w:spacing w:after="160" w:line="259" w:lineRule="auto"/>
        <w:jc w:val="both"/>
        <w:rPr>
          <w:rFonts w:ascii="Arial" w:hAnsi="Arial" w:cs="Arial"/>
        </w:rPr>
      </w:pPr>
      <w:hyperlink r:id="rId11" w:history="1">
        <w:r w:rsidR="00833746" w:rsidRPr="007C3441">
          <w:rPr>
            <w:rStyle w:val="Hyperlink"/>
          </w:rPr>
          <w:t>PSP Program Level Agreement</w:t>
        </w:r>
      </w:hyperlink>
    </w:p>
    <w:p w:rsidR="00833746" w:rsidRDefault="00110690" w:rsidP="00833746">
      <w:pPr>
        <w:pStyle w:val="ListParagraph"/>
        <w:numPr>
          <w:ilvl w:val="0"/>
          <w:numId w:val="36"/>
        </w:numPr>
        <w:jc w:val="both"/>
        <w:rPr>
          <w:rFonts w:ascii="Arial" w:hAnsi="Arial" w:cs="Arial"/>
        </w:rPr>
      </w:pPr>
      <w:hyperlink r:id="rId12" w:history="1">
        <w:r w:rsidR="00833746" w:rsidRPr="00CD65D7">
          <w:rPr>
            <w:rStyle w:val="Hyperlink"/>
          </w:rPr>
          <w:t>NSW Therapeutic Care Framework</w:t>
        </w:r>
      </w:hyperlink>
    </w:p>
    <w:p w:rsidR="00833746" w:rsidRDefault="00833746" w:rsidP="00833746">
      <w:pPr>
        <w:pStyle w:val="Heading2"/>
        <w:numPr>
          <w:ilvl w:val="1"/>
          <w:numId w:val="0"/>
        </w:numPr>
        <w:tabs>
          <w:tab w:val="num" w:pos="718"/>
        </w:tabs>
        <w:spacing w:before="230"/>
        <w:ind w:left="576" w:hanging="576"/>
      </w:pPr>
      <w:r>
        <w:t>ITTC Outreach:</w:t>
      </w:r>
    </w:p>
    <w:p w:rsidR="00833746" w:rsidRPr="000745E5" w:rsidRDefault="00833746" w:rsidP="00833746">
      <w:pPr>
        <w:rPr>
          <w:rFonts w:cs="Arial"/>
        </w:rPr>
      </w:pPr>
      <w:r w:rsidRPr="000745E5">
        <w:rPr>
          <w:rFonts w:cs="Arial"/>
        </w:rPr>
        <w:t>ITTC Outr</w:t>
      </w:r>
      <w:r>
        <w:rPr>
          <w:rFonts w:cs="Arial"/>
        </w:rPr>
        <w:t>each is a service provided by a</w:t>
      </w:r>
      <w:r w:rsidRPr="000745E5">
        <w:rPr>
          <w:rFonts w:cs="Arial"/>
        </w:rPr>
        <w:t xml:space="preserve"> DCJ funded Intensive Therapeutic Care (ITC) Service Provider through an Intensive Therapeutic Transitional Care Unit (ITTC) unit. </w:t>
      </w:r>
    </w:p>
    <w:p w:rsidR="00833746" w:rsidRPr="000745E5" w:rsidRDefault="00833746" w:rsidP="00833746">
      <w:pPr>
        <w:pStyle w:val="NoSpacing"/>
        <w:rPr>
          <w:rFonts w:ascii="Arial" w:hAnsi="Arial" w:cs="Arial"/>
          <w:sz w:val="24"/>
          <w:szCs w:val="24"/>
        </w:rPr>
      </w:pPr>
      <w:r w:rsidRPr="000745E5">
        <w:rPr>
          <w:rFonts w:ascii="Arial" w:hAnsi="Arial" w:cs="Arial"/>
          <w:sz w:val="24"/>
          <w:szCs w:val="24"/>
        </w:rPr>
        <w:t>ITTC Outreach is not prescriptive so it does not limit its capacity for innovation and creative servic</w:t>
      </w:r>
      <w:r>
        <w:rPr>
          <w:rFonts w:ascii="Arial" w:hAnsi="Arial" w:cs="Arial"/>
          <w:sz w:val="24"/>
          <w:szCs w:val="24"/>
        </w:rPr>
        <w:t>e</w:t>
      </w:r>
      <w:r w:rsidRPr="000745E5">
        <w:rPr>
          <w:rFonts w:ascii="Arial" w:hAnsi="Arial" w:cs="Arial"/>
          <w:sz w:val="24"/>
          <w:szCs w:val="24"/>
        </w:rPr>
        <w:t xml:space="preserve"> provision, however has the intention of providing short term support based on specific, measureable, achievable, realistic and time-limited (SMART) goals.  </w:t>
      </w:r>
      <w:r>
        <w:rPr>
          <w:rFonts w:ascii="Arial" w:hAnsi="Arial" w:cs="Arial"/>
          <w:sz w:val="24"/>
          <w:szCs w:val="24"/>
        </w:rPr>
        <w:t xml:space="preserve">These will be included in the ITTC Outreach Plan. </w:t>
      </w:r>
    </w:p>
    <w:p w:rsidR="00833746" w:rsidRPr="000745E5" w:rsidRDefault="00833746" w:rsidP="00833746">
      <w:pPr>
        <w:pStyle w:val="NoSpacing"/>
        <w:rPr>
          <w:rFonts w:ascii="Arial" w:hAnsi="Arial" w:cs="Arial"/>
          <w:sz w:val="24"/>
          <w:szCs w:val="24"/>
        </w:rPr>
      </w:pPr>
    </w:p>
    <w:p w:rsidR="00833746" w:rsidRDefault="00833746" w:rsidP="00833746">
      <w:pPr>
        <w:pStyle w:val="NoSpacing"/>
        <w:rPr>
          <w:rFonts w:ascii="Arial" w:hAnsi="Arial" w:cs="Arial"/>
          <w:sz w:val="24"/>
          <w:szCs w:val="24"/>
        </w:rPr>
      </w:pPr>
      <w:r w:rsidRPr="000745E5">
        <w:rPr>
          <w:rFonts w:ascii="Arial" w:hAnsi="Arial" w:cs="Arial"/>
          <w:sz w:val="24"/>
          <w:szCs w:val="24"/>
        </w:rPr>
        <w:t xml:space="preserve">Areas where support may be provided </w:t>
      </w:r>
      <w:r>
        <w:rPr>
          <w:rFonts w:ascii="Arial" w:hAnsi="Arial" w:cs="Arial"/>
          <w:sz w:val="24"/>
          <w:szCs w:val="24"/>
        </w:rPr>
        <w:t>will depend on the availability of specialists by the provider in that location. This could extend to providers undertaking brokerage to deliver services.</w:t>
      </w:r>
    </w:p>
    <w:p w:rsidR="00833746" w:rsidRDefault="00833746" w:rsidP="00833746">
      <w:pPr>
        <w:pStyle w:val="NoSpacing"/>
        <w:rPr>
          <w:rFonts w:ascii="Arial" w:hAnsi="Arial" w:cs="Arial"/>
          <w:sz w:val="24"/>
          <w:szCs w:val="24"/>
        </w:rPr>
      </w:pPr>
    </w:p>
    <w:p w:rsidR="00833746" w:rsidRPr="000745E5" w:rsidRDefault="00833746" w:rsidP="00833746">
      <w:pPr>
        <w:pStyle w:val="NoSpacing"/>
        <w:rPr>
          <w:rFonts w:ascii="Arial" w:hAnsi="Arial" w:cs="Arial"/>
          <w:sz w:val="24"/>
          <w:szCs w:val="24"/>
        </w:rPr>
      </w:pPr>
      <w:r>
        <w:rPr>
          <w:rFonts w:ascii="Arial" w:hAnsi="Arial" w:cs="Arial"/>
          <w:sz w:val="24"/>
          <w:szCs w:val="24"/>
        </w:rPr>
        <w:t xml:space="preserve">Services could </w:t>
      </w:r>
      <w:r w:rsidRPr="000745E5">
        <w:rPr>
          <w:rFonts w:ascii="Arial" w:hAnsi="Arial" w:cs="Arial"/>
          <w:sz w:val="24"/>
          <w:szCs w:val="24"/>
        </w:rPr>
        <w:t>include behaviour</w:t>
      </w:r>
      <w:r>
        <w:rPr>
          <w:rFonts w:ascii="Arial" w:hAnsi="Arial" w:cs="Arial"/>
          <w:sz w:val="24"/>
          <w:szCs w:val="24"/>
        </w:rPr>
        <w:t>al</w:t>
      </w:r>
      <w:r w:rsidRPr="000745E5">
        <w:rPr>
          <w:rFonts w:ascii="Arial" w:hAnsi="Arial" w:cs="Arial"/>
          <w:sz w:val="24"/>
          <w:szCs w:val="24"/>
        </w:rPr>
        <w:t xml:space="preserve"> assessment and support (but not drafting BSPs), developmental assessments including but</w:t>
      </w:r>
      <w:r>
        <w:rPr>
          <w:rFonts w:ascii="Arial" w:hAnsi="Arial" w:cs="Arial"/>
          <w:sz w:val="24"/>
          <w:szCs w:val="24"/>
        </w:rPr>
        <w:t xml:space="preserve"> not limited to occupational and s</w:t>
      </w:r>
      <w:r w:rsidRPr="000745E5">
        <w:rPr>
          <w:rFonts w:ascii="Arial" w:hAnsi="Arial" w:cs="Arial"/>
          <w:sz w:val="24"/>
          <w:szCs w:val="24"/>
        </w:rPr>
        <w:t>peech</w:t>
      </w:r>
      <w:r>
        <w:rPr>
          <w:rFonts w:ascii="Arial" w:hAnsi="Arial" w:cs="Arial"/>
          <w:sz w:val="24"/>
          <w:szCs w:val="24"/>
        </w:rPr>
        <w:t xml:space="preserve"> therapy</w:t>
      </w:r>
      <w:r w:rsidRPr="000745E5">
        <w:rPr>
          <w:rFonts w:ascii="Arial" w:hAnsi="Arial" w:cs="Arial"/>
          <w:sz w:val="24"/>
          <w:szCs w:val="24"/>
        </w:rPr>
        <w:t xml:space="preserve">, mental health, alcohol and/or drugs, education, independent living skills, carer / parent support, placement support, and risk management.       </w:t>
      </w:r>
    </w:p>
    <w:p w:rsidR="00833746" w:rsidRPr="000745E5" w:rsidRDefault="00833746" w:rsidP="00833746">
      <w:pPr>
        <w:jc w:val="both"/>
        <w:rPr>
          <w:rFonts w:cs="Arial"/>
        </w:rPr>
      </w:pPr>
      <w:r w:rsidRPr="000745E5">
        <w:rPr>
          <w:rFonts w:cs="Arial"/>
        </w:rPr>
        <w:t xml:space="preserve">This will be achieved through providing the necessary assessments and interventions identified on a case by case basis for each child, young person </w:t>
      </w:r>
      <w:r>
        <w:rPr>
          <w:rFonts w:cs="Arial"/>
        </w:rPr>
        <w:t>and/</w:t>
      </w:r>
      <w:r w:rsidRPr="000745E5">
        <w:rPr>
          <w:rFonts w:cs="Arial"/>
        </w:rPr>
        <w:t xml:space="preserve">or their carer, family or direct care staff referred to ITTC outreach. </w:t>
      </w:r>
    </w:p>
    <w:p w:rsidR="00833746" w:rsidRDefault="00833746" w:rsidP="00833746">
      <w:pPr>
        <w:pStyle w:val="Heading2"/>
        <w:numPr>
          <w:ilvl w:val="1"/>
          <w:numId w:val="0"/>
        </w:numPr>
        <w:tabs>
          <w:tab w:val="num" w:pos="718"/>
        </w:tabs>
        <w:spacing w:before="230"/>
      </w:pPr>
      <w:bookmarkStart w:id="1" w:name="_Toc24639455"/>
      <w:r>
        <w:lastRenderedPageBreak/>
        <w:t>Primary goals:</w:t>
      </w:r>
    </w:p>
    <w:p w:rsidR="00833746" w:rsidRPr="006F6A92" w:rsidRDefault="00833746" w:rsidP="00833746">
      <w:pPr>
        <w:pStyle w:val="Heading2"/>
        <w:numPr>
          <w:ilvl w:val="1"/>
          <w:numId w:val="0"/>
        </w:numPr>
        <w:tabs>
          <w:tab w:val="num" w:pos="718"/>
        </w:tabs>
        <w:spacing w:before="230"/>
        <w:rPr>
          <w:b w:val="0"/>
          <w:color w:val="auto"/>
        </w:rPr>
      </w:pPr>
      <w:r w:rsidRPr="006F6A92">
        <w:rPr>
          <w:b w:val="0"/>
          <w:color w:val="auto"/>
          <w:sz w:val="24"/>
          <w:szCs w:val="24"/>
        </w:rPr>
        <w:t xml:space="preserve">ITTC Outreach has the primary goal of promoting the safety, welfare and wellbeing of children and young people in PSP with the main objectives to: </w:t>
      </w:r>
    </w:p>
    <w:p w:rsidR="00833746" w:rsidRPr="006F6A92" w:rsidRDefault="00833746" w:rsidP="00833746">
      <w:pPr>
        <w:pStyle w:val="NoSpacing"/>
        <w:numPr>
          <w:ilvl w:val="0"/>
          <w:numId w:val="24"/>
        </w:numPr>
        <w:rPr>
          <w:rFonts w:ascii="Arial" w:hAnsi="Arial" w:cs="Arial"/>
          <w:sz w:val="24"/>
          <w:szCs w:val="24"/>
        </w:rPr>
      </w:pPr>
      <w:r w:rsidRPr="006F6A92">
        <w:rPr>
          <w:rFonts w:ascii="Arial" w:hAnsi="Arial" w:cs="Arial"/>
          <w:sz w:val="24"/>
          <w:szCs w:val="24"/>
        </w:rPr>
        <w:t>prevent placement breakdown</w:t>
      </w:r>
    </w:p>
    <w:p w:rsidR="00833746" w:rsidRPr="006F6A92" w:rsidRDefault="00833746" w:rsidP="00833746">
      <w:pPr>
        <w:pStyle w:val="NoSpacing"/>
        <w:numPr>
          <w:ilvl w:val="0"/>
          <w:numId w:val="24"/>
        </w:numPr>
        <w:rPr>
          <w:rFonts w:ascii="Arial" w:hAnsi="Arial" w:cs="Arial"/>
          <w:sz w:val="24"/>
          <w:szCs w:val="24"/>
        </w:rPr>
      </w:pPr>
      <w:r w:rsidRPr="006F6A92">
        <w:rPr>
          <w:rFonts w:ascii="Arial" w:hAnsi="Arial" w:cs="Arial"/>
          <w:sz w:val="24"/>
          <w:szCs w:val="24"/>
        </w:rPr>
        <w:t>prevent entry into ITC</w:t>
      </w:r>
    </w:p>
    <w:p w:rsidR="00833746" w:rsidRPr="006F6A92" w:rsidRDefault="00833746" w:rsidP="00833746">
      <w:pPr>
        <w:pStyle w:val="NoSpacing"/>
        <w:numPr>
          <w:ilvl w:val="0"/>
          <w:numId w:val="24"/>
        </w:numPr>
        <w:rPr>
          <w:rFonts w:ascii="Arial" w:hAnsi="Arial" w:cs="Arial"/>
          <w:sz w:val="24"/>
          <w:szCs w:val="24"/>
        </w:rPr>
      </w:pPr>
      <w:r w:rsidRPr="006F6A92">
        <w:rPr>
          <w:rFonts w:ascii="Arial" w:hAnsi="Arial" w:cs="Arial"/>
          <w:sz w:val="24"/>
          <w:szCs w:val="24"/>
        </w:rPr>
        <w:t xml:space="preserve">assist transition where children and young people require a placement change, or </w:t>
      </w:r>
    </w:p>
    <w:p w:rsidR="00833746" w:rsidRPr="006F6A92" w:rsidRDefault="00833746" w:rsidP="00833746">
      <w:pPr>
        <w:pStyle w:val="NoSpacing"/>
        <w:numPr>
          <w:ilvl w:val="0"/>
          <w:numId w:val="24"/>
        </w:numPr>
        <w:rPr>
          <w:rFonts w:ascii="Arial" w:hAnsi="Arial" w:cs="Arial"/>
          <w:sz w:val="24"/>
          <w:szCs w:val="24"/>
        </w:rPr>
      </w:pPr>
      <w:r w:rsidRPr="006F6A92">
        <w:rPr>
          <w:rFonts w:ascii="Arial" w:hAnsi="Arial" w:cs="Arial"/>
          <w:sz w:val="24"/>
          <w:szCs w:val="24"/>
        </w:rPr>
        <w:t xml:space="preserve">assist transition where children and young people require support to move to step down models of care </w:t>
      </w:r>
    </w:p>
    <w:p w:rsidR="00833746" w:rsidRPr="00293BBD" w:rsidRDefault="00833746" w:rsidP="00833746">
      <w:pPr>
        <w:pStyle w:val="Heading2"/>
        <w:numPr>
          <w:ilvl w:val="1"/>
          <w:numId w:val="0"/>
        </w:numPr>
        <w:tabs>
          <w:tab w:val="num" w:pos="718"/>
        </w:tabs>
        <w:spacing w:before="230"/>
        <w:ind w:left="576" w:hanging="576"/>
      </w:pPr>
      <w:r>
        <w:t>Key outcomes</w:t>
      </w:r>
      <w:bookmarkEnd w:id="1"/>
      <w:r>
        <w:t>:</w:t>
      </w:r>
    </w:p>
    <w:p w:rsidR="00833746" w:rsidRDefault="00833746" w:rsidP="00833746">
      <w:pPr>
        <w:jc w:val="both"/>
        <w:rPr>
          <w:rFonts w:cs="Arial"/>
        </w:rPr>
      </w:pPr>
      <w:r>
        <w:rPr>
          <w:rFonts w:cs="Arial"/>
        </w:rPr>
        <w:t xml:space="preserve">The key outcomes of </w:t>
      </w:r>
      <w:r w:rsidRPr="00F202B1">
        <w:rPr>
          <w:rFonts w:cs="Arial"/>
        </w:rPr>
        <w:t xml:space="preserve">ITTC Outreach </w:t>
      </w:r>
      <w:r>
        <w:rPr>
          <w:rFonts w:cs="Arial"/>
        </w:rPr>
        <w:t>are that:</w:t>
      </w:r>
      <w:r w:rsidRPr="00F202B1">
        <w:rPr>
          <w:rFonts w:cs="Arial"/>
        </w:rPr>
        <w:t xml:space="preserve"> </w:t>
      </w:r>
    </w:p>
    <w:p w:rsidR="00833746" w:rsidRDefault="00833746" w:rsidP="00833746">
      <w:pPr>
        <w:pStyle w:val="ListParagraph"/>
        <w:numPr>
          <w:ilvl w:val="0"/>
          <w:numId w:val="24"/>
        </w:numPr>
        <w:jc w:val="both"/>
        <w:rPr>
          <w:rFonts w:ascii="Arial" w:hAnsi="Arial" w:cs="Arial"/>
        </w:rPr>
      </w:pPr>
      <w:r>
        <w:rPr>
          <w:rFonts w:ascii="Arial" w:hAnsi="Arial" w:cs="Arial"/>
        </w:rPr>
        <w:t>children and young people remain in their current placement, if appropriate</w:t>
      </w:r>
    </w:p>
    <w:p w:rsidR="00833746" w:rsidRDefault="00833746" w:rsidP="00833746">
      <w:pPr>
        <w:pStyle w:val="ListParagraph"/>
        <w:numPr>
          <w:ilvl w:val="0"/>
          <w:numId w:val="24"/>
        </w:numPr>
        <w:jc w:val="both"/>
        <w:rPr>
          <w:rFonts w:ascii="Arial" w:hAnsi="Arial" w:cs="Arial"/>
        </w:rPr>
      </w:pPr>
      <w:r>
        <w:rPr>
          <w:rFonts w:ascii="Arial" w:hAnsi="Arial" w:cs="Arial"/>
        </w:rPr>
        <w:t>children and young people receive the support they need to preserve their placements</w:t>
      </w:r>
    </w:p>
    <w:p w:rsidR="00833746" w:rsidRDefault="00833746" w:rsidP="00833746">
      <w:pPr>
        <w:pStyle w:val="ListParagraph"/>
        <w:numPr>
          <w:ilvl w:val="0"/>
          <w:numId w:val="24"/>
        </w:numPr>
        <w:jc w:val="both"/>
        <w:rPr>
          <w:rFonts w:ascii="Arial" w:hAnsi="Arial" w:cs="Arial"/>
        </w:rPr>
      </w:pPr>
      <w:r>
        <w:rPr>
          <w:rFonts w:ascii="Arial" w:hAnsi="Arial" w:cs="Arial"/>
        </w:rPr>
        <w:t>children and young people do not enter ITC, unless in their best interests</w:t>
      </w:r>
    </w:p>
    <w:p w:rsidR="00833746" w:rsidRDefault="00833746" w:rsidP="00833746">
      <w:pPr>
        <w:pStyle w:val="ListParagraph"/>
        <w:numPr>
          <w:ilvl w:val="0"/>
          <w:numId w:val="24"/>
        </w:numPr>
        <w:jc w:val="both"/>
        <w:rPr>
          <w:rFonts w:ascii="Arial" w:hAnsi="Arial" w:cs="Arial"/>
        </w:rPr>
      </w:pPr>
      <w:r>
        <w:rPr>
          <w:rFonts w:ascii="Arial" w:hAnsi="Arial" w:cs="Arial"/>
        </w:rPr>
        <w:t>children and young people who need to transition to new placements receive the assessments and intervention they need to ensure its success</w:t>
      </w:r>
    </w:p>
    <w:p w:rsidR="00833746" w:rsidRDefault="00833746" w:rsidP="00833746">
      <w:pPr>
        <w:pStyle w:val="ListParagraph"/>
        <w:numPr>
          <w:ilvl w:val="0"/>
          <w:numId w:val="24"/>
        </w:numPr>
        <w:jc w:val="both"/>
        <w:rPr>
          <w:rFonts w:ascii="Arial" w:hAnsi="Arial" w:cs="Arial"/>
        </w:rPr>
      </w:pPr>
      <w:r>
        <w:rPr>
          <w:rFonts w:ascii="Arial" w:hAnsi="Arial" w:cs="Arial"/>
        </w:rPr>
        <w:t>foster carers, family or direct carers receive the support they need to maintain placements.</w:t>
      </w:r>
    </w:p>
    <w:p w:rsidR="00833746" w:rsidRDefault="00833746" w:rsidP="00833746">
      <w:pPr>
        <w:pStyle w:val="Heading2"/>
        <w:numPr>
          <w:ilvl w:val="1"/>
          <w:numId w:val="0"/>
        </w:numPr>
        <w:tabs>
          <w:tab w:val="num" w:pos="718"/>
        </w:tabs>
        <w:spacing w:before="230"/>
        <w:ind w:left="576" w:hanging="576"/>
      </w:pPr>
      <w:bookmarkStart w:id="2" w:name="_Toc24639458"/>
      <w:r>
        <w:t>Services provided:</w:t>
      </w:r>
      <w:bookmarkEnd w:id="2"/>
      <w:r>
        <w:t xml:space="preserve"> </w:t>
      </w:r>
    </w:p>
    <w:p w:rsidR="00833746" w:rsidRDefault="00833746" w:rsidP="00833746">
      <w:pPr>
        <w:jc w:val="both"/>
      </w:pPr>
      <w:r>
        <w:t>The Intensive Therapeutic</w:t>
      </w:r>
      <w:r w:rsidRPr="0061586F">
        <w:t xml:space="preserve"> </w:t>
      </w:r>
      <w:r>
        <w:t xml:space="preserve">Transitional Care (ITTC) Unit has been established as part of the ITC service system and facilitates the delivery of a suite of evidence informed, tailored assessments and interventions. </w:t>
      </w:r>
    </w:p>
    <w:p w:rsidR="00833746" w:rsidRPr="002F2C2B" w:rsidRDefault="00833746" w:rsidP="00833746">
      <w:pPr>
        <w:jc w:val="both"/>
        <w:rPr>
          <w:rFonts w:cs="Arial"/>
        </w:rPr>
      </w:pPr>
      <w:r w:rsidRPr="002F2C2B">
        <w:rPr>
          <w:rFonts w:cs="Arial"/>
        </w:rPr>
        <w:t>The ITTC Unit performs two distinct functions</w:t>
      </w:r>
      <w:r>
        <w:rPr>
          <w:rFonts w:cs="Arial"/>
        </w:rPr>
        <w:t>, to</w:t>
      </w:r>
      <w:r w:rsidRPr="002F2C2B">
        <w:rPr>
          <w:rFonts w:cs="Arial"/>
        </w:rPr>
        <w:t>:</w:t>
      </w:r>
    </w:p>
    <w:p w:rsidR="00833746" w:rsidRPr="002F2C2B" w:rsidRDefault="00833746" w:rsidP="00833746">
      <w:pPr>
        <w:pStyle w:val="ListParagraph"/>
        <w:numPr>
          <w:ilvl w:val="0"/>
          <w:numId w:val="25"/>
        </w:numPr>
        <w:jc w:val="both"/>
        <w:rPr>
          <w:rFonts w:ascii="Arial" w:hAnsi="Arial" w:cs="Arial"/>
        </w:rPr>
      </w:pPr>
      <w:r w:rsidRPr="002F2C2B">
        <w:rPr>
          <w:rFonts w:ascii="Arial" w:hAnsi="Arial" w:cs="Arial"/>
        </w:rPr>
        <w:t>provide time limited (</w:t>
      </w:r>
      <w:r>
        <w:rPr>
          <w:rFonts w:ascii="Arial" w:hAnsi="Arial" w:cs="Arial"/>
        </w:rPr>
        <w:t xml:space="preserve">up to </w:t>
      </w:r>
      <w:r w:rsidRPr="002F2C2B">
        <w:rPr>
          <w:rFonts w:ascii="Arial" w:hAnsi="Arial" w:cs="Arial"/>
        </w:rPr>
        <w:t>13 weeks) direct care supported by a highly skilled multidisciplinary team in home-like and child-centred environment (for children and young people aged 12 years and</w:t>
      </w:r>
      <w:r>
        <w:rPr>
          <w:rFonts w:ascii="Arial" w:hAnsi="Arial" w:cs="Arial"/>
        </w:rPr>
        <w:t xml:space="preserve"> over with a CAT score of high</w:t>
      </w:r>
      <w:r w:rsidRPr="002F2C2B">
        <w:rPr>
          <w:rFonts w:ascii="Arial" w:hAnsi="Arial" w:cs="Arial"/>
        </w:rPr>
        <w:t>); and to</w:t>
      </w:r>
    </w:p>
    <w:p w:rsidR="00833746" w:rsidRPr="00D8582B" w:rsidRDefault="00833746" w:rsidP="00833746">
      <w:pPr>
        <w:pStyle w:val="ListParagraph"/>
        <w:numPr>
          <w:ilvl w:val="0"/>
          <w:numId w:val="25"/>
        </w:numPr>
        <w:jc w:val="both"/>
        <w:rPr>
          <w:rFonts w:ascii="Arial" w:hAnsi="Arial" w:cs="Arial"/>
        </w:rPr>
      </w:pPr>
      <w:r w:rsidRPr="00D8582B">
        <w:rPr>
          <w:rFonts w:ascii="Arial" w:hAnsi="Arial" w:cs="Arial"/>
        </w:rPr>
        <w:t xml:space="preserve">provide outreach support to children and young people that require increased support and assistance </w:t>
      </w:r>
    </w:p>
    <w:p w:rsidR="00833746" w:rsidRDefault="00833746" w:rsidP="00833746">
      <w:pPr>
        <w:jc w:val="both"/>
        <w:rPr>
          <w:rFonts w:cs="Arial"/>
        </w:rPr>
      </w:pPr>
      <w:r>
        <w:rPr>
          <w:rFonts w:cs="Arial"/>
        </w:rPr>
        <w:t xml:space="preserve">The focus of this factsheet will however be </w:t>
      </w:r>
      <w:r w:rsidRPr="009A650B">
        <w:rPr>
          <w:rFonts w:cs="Arial"/>
          <w:b/>
        </w:rPr>
        <w:t>ITTC Outreach only</w:t>
      </w:r>
      <w:r>
        <w:rPr>
          <w:rFonts w:cs="Arial"/>
        </w:rPr>
        <w:t xml:space="preserve">. </w:t>
      </w:r>
    </w:p>
    <w:p w:rsidR="00833746" w:rsidRPr="00CF65A8" w:rsidRDefault="00833746" w:rsidP="00833746">
      <w:pPr>
        <w:jc w:val="both"/>
      </w:pPr>
      <w:r>
        <w:t>A</w:t>
      </w:r>
      <w:r w:rsidRPr="0023250D">
        <w:t>s each ITTC</w:t>
      </w:r>
      <w:r>
        <w:t xml:space="preserve"> unit is operated by different </w:t>
      </w:r>
      <w:r w:rsidRPr="0023250D">
        <w:t>SP and the Multi-disciplinary Specialist Team (MDST) services may be either provided in-house, purchased from other agencies</w:t>
      </w:r>
      <w:r>
        <w:t xml:space="preserve"> or individuals</w:t>
      </w:r>
      <w:r w:rsidRPr="0023250D">
        <w:t xml:space="preserve">, or a combination of both depending on the </w:t>
      </w:r>
      <w:r>
        <w:t xml:space="preserve">individual </w:t>
      </w:r>
      <w:r w:rsidRPr="0023250D">
        <w:t xml:space="preserve">needs of the children and young people, </w:t>
      </w:r>
      <w:r>
        <w:t xml:space="preserve">service provision will vary by unit and location. </w:t>
      </w:r>
    </w:p>
    <w:p w:rsidR="00833746" w:rsidRPr="003B56C6" w:rsidRDefault="00833746" w:rsidP="00833746">
      <w:pPr>
        <w:pStyle w:val="Heading2"/>
        <w:numPr>
          <w:ilvl w:val="1"/>
          <w:numId w:val="0"/>
        </w:numPr>
        <w:tabs>
          <w:tab w:val="num" w:pos="718"/>
        </w:tabs>
        <w:spacing w:before="230"/>
        <w:ind w:left="576" w:hanging="576"/>
        <w:rPr>
          <w:sz w:val="28"/>
        </w:rPr>
      </w:pPr>
      <w:bookmarkStart w:id="3" w:name="_Toc24639459"/>
      <w:r>
        <w:rPr>
          <w:sz w:val="28"/>
        </w:rPr>
        <w:t>Services n</w:t>
      </w:r>
      <w:r w:rsidRPr="003B56C6">
        <w:rPr>
          <w:sz w:val="28"/>
        </w:rPr>
        <w:t xml:space="preserve">ot </w:t>
      </w:r>
      <w:bookmarkEnd w:id="3"/>
      <w:r w:rsidRPr="003B56C6">
        <w:rPr>
          <w:sz w:val="28"/>
        </w:rPr>
        <w:t>provided</w:t>
      </w:r>
      <w:r>
        <w:rPr>
          <w:sz w:val="28"/>
        </w:rPr>
        <w:t xml:space="preserve"> </w:t>
      </w:r>
    </w:p>
    <w:p w:rsidR="00833746" w:rsidRDefault="00833746" w:rsidP="00833746">
      <w:pPr>
        <w:jc w:val="both"/>
      </w:pPr>
      <w:r>
        <w:t xml:space="preserve">The following services are not provided by an ITTC outreach model: </w:t>
      </w:r>
    </w:p>
    <w:p w:rsidR="00D701E9" w:rsidRPr="00E65E62" w:rsidRDefault="00D701E9" w:rsidP="00833746">
      <w:pPr>
        <w:pStyle w:val="ListParagraph"/>
        <w:numPr>
          <w:ilvl w:val="0"/>
          <w:numId w:val="27"/>
        </w:numPr>
        <w:jc w:val="both"/>
        <w:rPr>
          <w:rFonts w:ascii="Arial" w:hAnsi="Arial" w:cs="Arial"/>
        </w:rPr>
      </w:pPr>
      <w:r w:rsidRPr="00E65E62">
        <w:rPr>
          <w:rFonts w:ascii="Arial" w:hAnsi="Arial" w:cs="Arial"/>
        </w:rPr>
        <w:t xml:space="preserve">early intervention </w:t>
      </w:r>
      <w:r w:rsidR="003F0362" w:rsidRPr="00E65E62">
        <w:rPr>
          <w:rFonts w:ascii="Arial" w:hAnsi="Arial" w:cs="Arial"/>
        </w:rPr>
        <w:t>services</w:t>
      </w:r>
    </w:p>
    <w:p w:rsidR="00833746" w:rsidRPr="0061763B" w:rsidRDefault="00833746" w:rsidP="00833746">
      <w:pPr>
        <w:pStyle w:val="ListParagraph"/>
        <w:numPr>
          <w:ilvl w:val="0"/>
          <w:numId w:val="27"/>
        </w:numPr>
        <w:jc w:val="both"/>
        <w:rPr>
          <w:rFonts w:ascii="Arial" w:hAnsi="Arial" w:cs="Arial"/>
        </w:rPr>
      </w:pPr>
      <w:r w:rsidRPr="0061763B">
        <w:rPr>
          <w:rFonts w:ascii="Arial" w:hAnsi="Arial" w:cs="Arial"/>
        </w:rPr>
        <w:t>placement in an ITTC unit</w:t>
      </w:r>
      <w:r>
        <w:rPr>
          <w:rFonts w:ascii="Arial" w:hAnsi="Arial" w:cs="Arial"/>
        </w:rPr>
        <w:t>.</w:t>
      </w:r>
    </w:p>
    <w:p w:rsidR="00833746" w:rsidRDefault="00833746" w:rsidP="00833746">
      <w:pPr>
        <w:pStyle w:val="Heading2"/>
        <w:rPr>
          <w:sz w:val="28"/>
        </w:rPr>
      </w:pPr>
      <w:r>
        <w:rPr>
          <w:sz w:val="28"/>
        </w:rPr>
        <w:t>Minimum requirements:</w:t>
      </w:r>
    </w:p>
    <w:p w:rsidR="00833746" w:rsidRDefault="00833746" w:rsidP="00833746">
      <w:pPr>
        <w:jc w:val="both"/>
        <w:rPr>
          <w:rFonts w:cs="Arial"/>
        </w:rPr>
      </w:pPr>
      <w:r>
        <w:rPr>
          <w:rFonts w:cs="Arial"/>
        </w:rPr>
        <w:t>The ITTC unit as part of outreach must provide services:</w:t>
      </w:r>
    </w:p>
    <w:p w:rsidR="00833746" w:rsidRDefault="00833746" w:rsidP="00833746">
      <w:pPr>
        <w:pStyle w:val="ListParagraph"/>
        <w:numPr>
          <w:ilvl w:val="3"/>
          <w:numId w:val="26"/>
        </w:numPr>
        <w:ind w:left="709" w:hanging="283"/>
        <w:jc w:val="both"/>
        <w:rPr>
          <w:rFonts w:ascii="Arial" w:hAnsi="Arial" w:cs="Arial"/>
        </w:rPr>
      </w:pPr>
      <w:r>
        <w:rPr>
          <w:rFonts w:ascii="Arial" w:hAnsi="Arial" w:cs="Arial"/>
        </w:rPr>
        <w:t>for</w:t>
      </w:r>
      <w:r w:rsidRPr="00021B67">
        <w:rPr>
          <w:rFonts w:ascii="Arial" w:hAnsi="Arial" w:cs="Arial"/>
        </w:rPr>
        <w:t xml:space="preserve"> up to 24 children and young people per quarter</w:t>
      </w:r>
      <w:r>
        <w:rPr>
          <w:rFonts w:ascii="Arial" w:hAnsi="Arial" w:cs="Arial"/>
        </w:rPr>
        <w:t>,</w:t>
      </w:r>
    </w:p>
    <w:p w:rsidR="00833746" w:rsidRDefault="00833746" w:rsidP="00833746">
      <w:pPr>
        <w:pStyle w:val="ListParagraph"/>
        <w:numPr>
          <w:ilvl w:val="3"/>
          <w:numId w:val="26"/>
        </w:numPr>
        <w:ind w:left="709" w:hanging="283"/>
        <w:jc w:val="both"/>
        <w:rPr>
          <w:rFonts w:ascii="Arial" w:hAnsi="Arial" w:cs="Arial"/>
        </w:rPr>
      </w:pPr>
      <w:r>
        <w:rPr>
          <w:rFonts w:ascii="Arial" w:hAnsi="Arial" w:cs="Arial"/>
        </w:rPr>
        <w:t xml:space="preserve">for a period of up to 13 weeks in duration, </w:t>
      </w:r>
    </w:p>
    <w:p w:rsidR="00833746" w:rsidRDefault="00833746" w:rsidP="00833746">
      <w:pPr>
        <w:pStyle w:val="ListParagraph"/>
        <w:numPr>
          <w:ilvl w:val="3"/>
          <w:numId w:val="26"/>
        </w:numPr>
        <w:ind w:left="709" w:hanging="283"/>
        <w:jc w:val="both"/>
        <w:rPr>
          <w:rFonts w:ascii="Arial" w:hAnsi="Arial" w:cs="Arial"/>
        </w:rPr>
      </w:pPr>
      <w:r>
        <w:rPr>
          <w:rFonts w:ascii="Arial" w:hAnsi="Arial" w:cs="Arial"/>
        </w:rPr>
        <w:t xml:space="preserve">that develop and monitor </w:t>
      </w:r>
      <w:r w:rsidRPr="00021B67">
        <w:rPr>
          <w:rFonts w:ascii="Arial" w:hAnsi="Arial" w:cs="Arial"/>
        </w:rPr>
        <w:t>outreach plans</w:t>
      </w:r>
      <w:r>
        <w:rPr>
          <w:rFonts w:ascii="Arial" w:hAnsi="Arial" w:cs="Arial"/>
        </w:rPr>
        <w:t>,</w:t>
      </w:r>
    </w:p>
    <w:p w:rsidR="00833746" w:rsidRDefault="00833746" w:rsidP="00833746">
      <w:pPr>
        <w:pStyle w:val="ListParagraph"/>
        <w:numPr>
          <w:ilvl w:val="3"/>
          <w:numId w:val="26"/>
        </w:numPr>
        <w:ind w:left="709" w:hanging="283"/>
        <w:jc w:val="both"/>
        <w:rPr>
          <w:rFonts w:ascii="Arial" w:hAnsi="Arial" w:cs="Arial"/>
        </w:rPr>
      </w:pPr>
      <w:r>
        <w:rPr>
          <w:rFonts w:ascii="Arial" w:hAnsi="Arial" w:cs="Arial"/>
        </w:rPr>
        <w:t xml:space="preserve">conduct monthly </w:t>
      </w:r>
      <w:r w:rsidRPr="00021B67">
        <w:rPr>
          <w:rFonts w:ascii="Arial" w:hAnsi="Arial" w:cs="Arial"/>
        </w:rPr>
        <w:t>care team meetings</w:t>
      </w:r>
      <w:r>
        <w:rPr>
          <w:rFonts w:ascii="Arial" w:hAnsi="Arial" w:cs="Arial"/>
        </w:rPr>
        <w:t>, and</w:t>
      </w:r>
    </w:p>
    <w:p w:rsidR="00833746" w:rsidRDefault="00833746" w:rsidP="00833746">
      <w:pPr>
        <w:pStyle w:val="ListParagraph"/>
        <w:numPr>
          <w:ilvl w:val="3"/>
          <w:numId w:val="26"/>
        </w:numPr>
        <w:ind w:left="709" w:hanging="283"/>
        <w:jc w:val="both"/>
        <w:rPr>
          <w:rFonts w:ascii="Arial" w:hAnsi="Arial" w:cs="Arial"/>
        </w:rPr>
      </w:pPr>
      <w:r>
        <w:rPr>
          <w:rFonts w:ascii="Arial" w:hAnsi="Arial" w:cs="Arial"/>
        </w:rPr>
        <w:t>complete an exit summary on services provided and outcomes achieved.</w:t>
      </w:r>
    </w:p>
    <w:p w:rsidR="00833746" w:rsidRDefault="00833746" w:rsidP="00833746">
      <w:pPr>
        <w:pStyle w:val="ListParagraph"/>
        <w:ind w:left="709"/>
        <w:jc w:val="both"/>
        <w:rPr>
          <w:rFonts w:ascii="Arial" w:hAnsi="Arial" w:cs="Arial"/>
        </w:rPr>
      </w:pPr>
    </w:p>
    <w:p w:rsidR="00833746" w:rsidRDefault="00833746" w:rsidP="00833746">
      <w:pPr>
        <w:pStyle w:val="ListParagraph"/>
        <w:ind w:left="0"/>
        <w:jc w:val="both"/>
        <w:rPr>
          <w:rFonts w:ascii="Arial" w:hAnsi="Arial" w:cs="Arial"/>
        </w:rPr>
      </w:pPr>
      <w:r>
        <w:rPr>
          <w:rFonts w:ascii="Arial" w:hAnsi="Arial" w:cs="Arial"/>
        </w:rPr>
        <w:t xml:space="preserve">After consultation with service providers the following forms have been agreed for use: </w:t>
      </w:r>
    </w:p>
    <w:p w:rsidR="00833746" w:rsidRDefault="00833746" w:rsidP="00833746">
      <w:pPr>
        <w:pStyle w:val="ListParagraph"/>
        <w:ind w:left="0"/>
        <w:jc w:val="both"/>
        <w:rPr>
          <w:rFonts w:ascii="Arial" w:hAnsi="Arial" w:cs="Arial"/>
        </w:rPr>
      </w:pPr>
    </w:p>
    <w:p w:rsidR="00833746" w:rsidRDefault="00833746" w:rsidP="00833746">
      <w:pPr>
        <w:pStyle w:val="ListParagraph"/>
        <w:numPr>
          <w:ilvl w:val="0"/>
          <w:numId w:val="37"/>
        </w:numPr>
        <w:jc w:val="both"/>
        <w:rPr>
          <w:rFonts w:ascii="Arial" w:hAnsi="Arial" w:cs="Arial"/>
        </w:rPr>
      </w:pPr>
      <w:r>
        <w:rPr>
          <w:rFonts w:ascii="Arial" w:hAnsi="Arial" w:cs="Arial"/>
        </w:rPr>
        <w:t>ITTC Outreach Referral Form</w:t>
      </w:r>
    </w:p>
    <w:p w:rsidR="00833746" w:rsidRDefault="00833746" w:rsidP="00833746">
      <w:pPr>
        <w:pStyle w:val="ListParagraph"/>
        <w:numPr>
          <w:ilvl w:val="0"/>
          <w:numId w:val="37"/>
        </w:numPr>
        <w:jc w:val="both"/>
        <w:rPr>
          <w:rFonts w:ascii="Arial" w:hAnsi="Arial" w:cs="Arial"/>
        </w:rPr>
      </w:pPr>
      <w:r>
        <w:rPr>
          <w:rFonts w:ascii="Arial" w:hAnsi="Arial" w:cs="Arial"/>
        </w:rPr>
        <w:t>ITTC Outreach Plan, and</w:t>
      </w:r>
    </w:p>
    <w:p w:rsidR="00833746" w:rsidRDefault="00833746" w:rsidP="00833746">
      <w:pPr>
        <w:pStyle w:val="ListParagraph"/>
        <w:numPr>
          <w:ilvl w:val="0"/>
          <w:numId w:val="37"/>
        </w:numPr>
        <w:jc w:val="both"/>
        <w:rPr>
          <w:rFonts w:ascii="Arial" w:hAnsi="Arial" w:cs="Arial"/>
        </w:rPr>
      </w:pPr>
      <w:r>
        <w:rPr>
          <w:rFonts w:ascii="Arial" w:hAnsi="Arial" w:cs="Arial"/>
        </w:rPr>
        <w:t>ITTC Outreach Exit Summary.</w:t>
      </w:r>
    </w:p>
    <w:p w:rsidR="00833746" w:rsidRDefault="00833746" w:rsidP="00833746">
      <w:pPr>
        <w:pStyle w:val="ListParagraph"/>
        <w:ind w:left="709" w:hanging="709"/>
        <w:jc w:val="both"/>
        <w:rPr>
          <w:rFonts w:ascii="Arial" w:hAnsi="Arial" w:cs="Arial"/>
        </w:rPr>
      </w:pPr>
      <w:r>
        <w:rPr>
          <w:rFonts w:ascii="Arial" w:hAnsi="Arial" w:cs="Arial"/>
        </w:rPr>
        <w:t xml:space="preserve">  </w:t>
      </w:r>
    </w:p>
    <w:p w:rsidR="00833746" w:rsidRDefault="00833746" w:rsidP="00833746">
      <w:pPr>
        <w:pStyle w:val="ListParagraph"/>
        <w:ind w:left="0"/>
        <w:jc w:val="both"/>
        <w:rPr>
          <w:rFonts w:ascii="Arial" w:hAnsi="Arial" w:cs="Arial"/>
        </w:rPr>
      </w:pPr>
      <w:r>
        <w:rPr>
          <w:rFonts w:ascii="Arial" w:hAnsi="Arial" w:cs="Arial"/>
        </w:rPr>
        <w:t>It is an expectation that referrals and ITTC service provision comply with these forms and processes.</w:t>
      </w:r>
    </w:p>
    <w:p w:rsidR="00833746" w:rsidRDefault="00833746" w:rsidP="00833746">
      <w:pPr>
        <w:pStyle w:val="Heading2"/>
        <w:rPr>
          <w:sz w:val="28"/>
        </w:rPr>
      </w:pPr>
      <w:r>
        <w:rPr>
          <w:sz w:val="28"/>
        </w:rPr>
        <w:t>Service delivery:</w:t>
      </w:r>
    </w:p>
    <w:p w:rsidR="00833746" w:rsidRPr="00FB71DC" w:rsidRDefault="00833746" w:rsidP="00833746">
      <w:pPr>
        <w:jc w:val="both"/>
        <w:rPr>
          <w:rFonts w:cs="Arial"/>
        </w:rPr>
      </w:pPr>
      <w:r w:rsidRPr="00FB71DC">
        <w:rPr>
          <w:rFonts w:cs="Arial"/>
        </w:rPr>
        <w:t xml:space="preserve">ITTC Outreach will be expected to meet the requirements outlined in the Permanency Support Program and the Ten Essential Elements as part of the Intensive Therapeutic Care Framework. </w:t>
      </w:r>
    </w:p>
    <w:p w:rsidR="00833746" w:rsidRPr="00FB71DC" w:rsidRDefault="00833746" w:rsidP="00833746">
      <w:pPr>
        <w:jc w:val="both"/>
        <w:rPr>
          <w:rFonts w:cs="Arial"/>
        </w:rPr>
      </w:pPr>
      <w:r w:rsidRPr="00FB71DC">
        <w:t xml:space="preserve">ITTC Outreach will provide support to children and young people by a highly skilled and multi-disciplinary specialist team (MDST), </w:t>
      </w:r>
      <w:r w:rsidRPr="00FB71DC">
        <w:rPr>
          <w:lang w:val="en-US"/>
        </w:rPr>
        <w:t>qualified staff with experience in (but not limited to) behavioural assessment, therapy, psychology or allied health services led by a Therapeutic Specialist.</w:t>
      </w:r>
    </w:p>
    <w:p w:rsidR="00833746" w:rsidRPr="00FB71DC" w:rsidRDefault="00833746" w:rsidP="00833746">
      <w:pPr>
        <w:jc w:val="both"/>
        <w:rPr>
          <w:rFonts w:cs="Arial"/>
        </w:rPr>
      </w:pPr>
      <w:r w:rsidRPr="00FB71DC">
        <w:rPr>
          <w:rFonts w:cs="Arial"/>
        </w:rPr>
        <w:t xml:space="preserve">Service provision will be for a period of </w:t>
      </w:r>
      <w:r>
        <w:rPr>
          <w:rFonts w:cs="Arial"/>
        </w:rPr>
        <w:t>up to</w:t>
      </w:r>
      <w:r w:rsidRPr="00FB71DC">
        <w:rPr>
          <w:rFonts w:cs="Arial"/>
        </w:rPr>
        <w:t xml:space="preserve">13 weeks, with an option to extend for a further 13 weeks in circumstances where the intended outcomes cannot be achieved in a shorter time frame. </w:t>
      </w:r>
    </w:p>
    <w:p w:rsidR="00833746" w:rsidRPr="00FB71DC" w:rsidRDefault="00833746" w:rsidP="00833746">
      <w:pPr>
        <w:jc w:val="both"/>
        <w:rPr>
          <w:rFonts w:cs="Arial"/>
        </w:rPr>
      </w:pPr>
      <w:r w:rsidRPr="00FB71DC">
        <w:rPr>
          <w:rFonts w:cs="Arial"/>
        </w:rPr>
        <w:t xml:space="preserve">These services will vary on a case by case basis and are expected to focus on review, referral and recommendations to guide case plan goals, rather than the delivery of full assessments and associated wraparound services. Referrals will be determined by the local Child and Family District Unit (CFDU) and will be dependent on the capacity of the ITTC Unit at that time. </w:t>
      </w:r>
    </w:p>
    <w:p w:rsidR="00833746" w:rsidRPr="00FB71DC" w:rsidRDefault="00833746" w:rsidP="00833746">
      <w:pPr>
        <w:jc w:val="both"/>
        <w:rPr>
          <w:rFonts w:cs="Arial"/>
        </w:rPr>
      </w:pPr>
      <w:r w:rsidRPr="00FB71DC">
        <w:rPr>
          <w:rFonts w:cs="Arial"/>
        </w:rPr>
        <w:t>ITTC Outreach will prov</w:t>
      </w:r>
      <w:r>
        <w:rPr>
          <w:rFonts w:cs="Arial"/>
        </w:rPr>
        <w:t>ide support to the PSP</w:t>
      </w:r>
      <w:r w:rsidRPr="00FB71DC">
        <w:rPr>
          <w:rFonts w:cs="Arial"/>
        </w:rPr>
        <w:t xml:space="preserve"> service system </w:t>
      </w:r>
      <w:r>
        <w:rPr>
          <w:rFonts w:cs="Arial"/>
        </w:rPr>
        <w:t>in the following ITT</w:t>
      </w:r>
      <w:r w:rsidRPr="00FB71DC">
        <w:rPr>
          <w:rFonts w:cs="Arial"/>
        </w:rPr>
        <w:t xml:space="preserve">C geographically based locations: </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Blacktown</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Gosford</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Lismore</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Liverpool</w:t>
      </w:r>
      <w:r>
        <w:rPr>
          <w:rFonts w:ascii="Arial" w:hAnsi="Arial" w:cs="Arial"/>
        </w:rPr>
        <w:t xml:space="preserve"> (yet to be established)</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 xml:space="preserve">Newcastle </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Orange</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Queanbeyan</w:t>
      </w:r>
    </w:p>
    <w:p w:rsidR="00833746" w:rsidRPr="00FB71DC"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Tamworth</w:t>
      </w:r>
      <w:r>
        <w:rPr>
          <w:rFonts w:ascii="Arial" w:hAnsi="Arial" w:cs="Arial"/>
        </w:rPr>
        <w:t xml:space="preserve"> (yet to be established)</w:t>
      </w:r>
    </w:p>
    <w:p w:rsidR="00833746" w:rsidRDefault="00833746" w:rsidP="00833746">
      <w:pPr>
        <w:pStyle w:val="ListParagraph"/>
        <w:numPr>
          <w:ilvl w:val="3"/>
          <w:numId w:val="26"/>
        </w:numPr>
        <w:tabs>
          <w:tab w:val="left" w:pos="993"/>
        </w:tabs>
        <w:ind w:left="567" w:firstLine="0"/>
        <w:jc w:val="both"/>
        <w:rPr>
          <w:rFonts w:ascii="Arial" w:hAnsi="Arial" w:cs="Arial"/>
        </w:rPr>
      </w:pPr>
      <w:r w:rsidRPr="00FB71DC">
        <w:rPr>
          <w:rFonts w:ascii="Arial" w:hAnsi="Arial" w:cs="Arial"/>
        </w:rPr>
        <w:t>Wollongong</w:t>
      </w:r>
      <w:r>
        <w:rPr>
          <w:rFonts w:ascii="Arial" w:hAnsi="Arial" w:cs="Arial"/>
        </w:rPr>
        <w:t xml:space="preserve"> (yet to be established).</w:t>
      </w:r>
    </w:p>
    <w:p w:rsidR="00833746" w:rsidRDefault="00833746" w:rsidP="00833746">
      <w:pPr>
        <w:pStyle w:val="ListParagraph"/>
        <w:tabs>
          <w:tab w:val="left" w:pos="993"/>
        </w:tabs>
        <w:ind w:left="2160"/>
        <w:jc w:val="both"/>
        <w:rPr>
          <w:rFonts w:ascii="Arial" w:hAnsi="Arial" w:cs="Arial"/>
        </w:rPr>
      </w:pPr>
    </w:p>
    <w:p w:rsidR="00833746" w:rsidRPr="00FB71DC" w:rsidRDefault="00833746" w:rsidP="00833746">
      <w:pPr>
        <w:pStyle w:val="ListParagraph"/>
        <w:tabs>
          <w:tab w:val="left" w:pos="993"/>
        </w:tabs>
        <w:ind w:left="0"/>
        <w:jc w:val="both"/>
        <w:rPr>
          <w:rFonts w:ascii="Arial" w:hAnsi="Arial" w:cs="Arial"/>
        </w:rPr>
      </w:pPr>
      <w:r>
        <w:rPr>
          <w:rFonts w:ascii="Arial" w:hAnsi="Arial" w:cs="Arial"/>
        </w:rPr>
        <w:t xml:space="preserve">NB: Service provision will only be provided within a 2 hour radius of the ITTC unit. </w:t>
      </w:r>
    </w:p>
    <w:p w:rsidR="00833746" w:rsidRPr="00FB71DC" w:rsidRDefault="00833746" w:rsidP="00833746">
      <w:pPr>
        <w:pStyle w:val="Heading2"/>
        <w:rPr>
          <w:sz w:val="28"/>
        </w:rPr>
      </w:pPr>
      <w:r>
        <w:rPr>
          <w:sz w:val="28"/>
        </w:rPr>
        <w:t>Client g</w:t>
      </w:r>
      <w:r w:rsidRPr="00FB71DC">
        <w:rPr>
          <w:sz w:val="28"/>
        </w:rPr>
        <w:t>roup</w:t>
      </w:r>
      <w:r>
        <w:rPr>
          <w:sz w:val="28"/>
        </w:rPr>
        <w:t>:</w:t>
      </w:r>
    </w:p>
    <w:p w:rsidR="00833746" w:rsidRPr="00FB71DC" w:rsidRDefault="00833746" w:rsidP="00833746">
      <w:pPr>
        <w:jc w:val="both"/>
      </w:pPr>
      <w:r w:rsidRPr="00FB71DC">
        <w:t>The target group for ITTC Ou</w:t>
      </w:r>
      <w:r>
        <w:t>treach is</w:t>
      </w:r>
      <w:r w:rsidRPr="00FB71DC">
        <w:t xml:space="preserve"> children and young people </w:t>
      </w:r>
      <w:r>
        <w:t xml:space="preserve">with high and/or complex needs </w:t>
      </w:r>
      <w:r w:rsidRPr="00FB71DC">
        <w:t>placed in:</w:t>
      </w:r>
    </w:p>
    <w:p w:rsidR="00833746" w:rsidRPr="00FB71DC" w:rsidRDefault="00833746" w:rsidP="00833746">
      <w:pPr>
        <w:pStyle w:val="ListParagraph"/>
        <w:numPr>
          <w:ilvl w:val="0"/>
          <w:numId w:val="28"/>
        </w:numPr>
        <w:tabs>
          <w:tab w:val="left" w:pos="993"/>
        </w:tabs>
        <w:ind w:left="993" w:hanging="567"/>
        <w:jc w:val="both"/>
        <w:rPr>
          <w:rFonts w:ascii="Arial" w:hAnsi="Arial" w:cs="Arial"/>
        </w:rPr>
      </w:pPr>
      <w:r w:rsidRPr="00FB71DC">
        <w:rPr>
          <w:rFonts w:ascii="Arial" w:hAnsi="Arial" w:cs="Arial"/>
        </w:rPr>
        <w:t>foster care that require increased support and assistance to prevent entry into ITC</w:t>
      </w:r>
      <w:r w:rsidRPr="00FB71DC">
        <w:rPr>
          <w:rStyle w:val="FootnoteReference"/>
          <w:rFonts w:cs="Arial"/>
        </w:rPr>
        <w:footnoteReference w:id="1"/>
      </w:r>
    </w:p>
    <w:p w:rsidR="00833746" w:rsidRPr="006A6525" w:rsidRDefault="00833746" w:rsidP="00833746">
      <w:pPr>
        <w:pStyle w:val="ListParagraph"/>
        <w:numPr>
          <w:ilvl w:val="0"/>
          <w:numId w:val="28"/>
        </w:numPr>
        <w:tabs>
          <w:tab w:val="left" w:pos="993"/>
        </w:tabs>
        <w:ind w:left="993" w:hanging="567"/>
        <w:jc w:val="both"/>
        <w:rPr>
          <w:rFonts w:ascii="Arial" w:hAnsi="Arial" w:cs="Arial"/>
        </w:rPr>
      </w:pPr>
      <w:r w:rsidRPr="006A6525">
        <w:rPr>
          <w:rFonts w:ascii="Arial" w:hAnsi="Arial" w:cs="Arial"/>
        </w:rPr>
        <w:t>ITC and need further assessment and assistance to transition to</w:t>
      </w:r>
      <w:r>
        <w:rPr>
          <w:rFonts w:ascii="Arial" w:hAnsi="Arial" w:cs="Arial"/>
        </w:rPr>
        <w:t>, or settle in to</w:t>
      </w:r>
      <w:r w:rsidRPr="006A6525">
        <w:rPr>
          <w:rFonts w:ascii="Arial" w:hAnsi="Arial" w:cs="Arial"/>
        </w:rPr>
        <w:t xml:space="preserve"> a new placement</w:t>
      </w:r>
    </w:p>
    <w:p w:rsidR="00833746" w:rsidRDefault="00833746" w:rsidP="00833746">
      <w:pPr>
        <w:pStyle w:val="ListParagraph"/>
        <w:numPr>
          <w:ilvl w:val="0"/>
          <w:numId w:val="28"/>
        </w:numPr>
        <w:tabs>
          <w:tab w:val="left" w:pos="993"/>
        </w:tabs>
        <w:ind w:left="993" w:hanging="567"/>
        <w:jc w:val="both"/>
        <w:rPr>
          <w:rFonts w:ascii="Arial" w:hAnsi="Arial" w:cs="Arial"/>
        </w:rPr>
      </w:pPr>
      <w:r w:rsidRPr="006A6525">
        <w:rPr>
          <w:rFonts w:ascii="Arial" w:hAnsi="Arial" w:cs="Arial"/>
        </w:rPr>
        <w:t xml:space="preserve">alternate care arrangements (ACAs) </w:t>
      </w:r>
      <w:r>
        <w:rPr>
          <w:rFonts w:ascii="Arial" w:hAnsi="Arial" w:cs="Arial"/>
        </w:rPr>
        <w:t>and require</w:t>
      </w:r>
      <w:r w:rsidRPr="006A6525">
        <w:rPr>
          <w:rFonts w:ascii="Arial" w:hAnsi="Arial" w:cs="Arial"/>
        </w:rPr>
        <w:t xml:space="preserve"> support to transition to a</w:t>
      </w:r>
      <w:r>
        <w:rPr>
          <w:rFonts w:ascii="Arial" w:hAnsi="Arial" w:cs="Arial"/>
        </w:rPr>
        <w:t>n ITC placement or</w:t>
      </w:r>
      <w:r w:rsidRPr="006A6525">
        <w:rPr>
          <w:rFonts w:ascii="Arial" w:hAnsi="Arial" w:cs="Arial"/>
        </w:rPr>
        <w:t xml:space="preserve"> more appropriate placement</w:t>
      </w:r>
    </w:p>
    <w:p w:rsidR="00833746" w:rsidRPr="00C45A83" w:rsidRDefault="00833746" w:rsidP="00833746">
      <w:pPr>
        <w:pStyle w:val="ListParagraph"/>
        <w:numPr>
          <w:ilvl w:val="0"/>
          <w:numId w:val="28"/>
        </w:numPr>
        <w:tabs>
          <w:tab w:val="left" w:pos="993"/>
        </w:tabs>
        <w:ind w:left="993" w:hanging="567"/>
        <w:jc w:val="both"/>
        <w:rPr>
          <w:rFonts w:ascii="Arial" w:hAnsi="Arial" w:cs="Arial"/>
        </w:rPr>
      </w:pPr>
      <w:r w:rsidRPr="00C45A83">
        <w:rPr>
          <w:rFonts w:ascii="Arial" w:hAnsi="Arial" w:cs="Arial"/>
        </w:rPr>
        <w:t>the interim care model who require support to transition to a more permanent care arrangement.</w:t>
      </w:r>
    </w:p>
    <w:p w:rsidR="00833746" w:rsidRDefault="00833746" w:rsidP="00833746">
      <w:pPr>
        <w:pStyle w:val="Heading2"/>
        <w:rPr>
          <w:sz w:val="28"/>
        </w:rPr>
      </w:pPr>
      <w:r>
        <w:rPr>
          <w:sz w:val="28"/>
        </w:rPr>
        <w:t>Referral process:</w:t>
      </w:r>
    </w:p>
    <w:p w:rsidR="00833746" w:rsidRPr="00FB71DC" w:rsidRDefault="00833746" w:rsidP="00833746">
      <w:pPr>
        <w:jc w:val="both"/>
      </w:pPr>
      <w:r>
        <w:t>Referrals can</w:t>
      </w:r>
      <w:r w:rsidRPr="00FB71DC">
        <w:t xml:space="preserve"> be made by PSP </w:t>
      </w:r>
      <w:r>
        <w:t>or ITC service provider (</w:t>
      </w:r>
      <w:r w:rsidRPr="00FB71DC">
        <w:t>SP)</w:t>
      </w:r>
      <w:r>
        <w:t>,</w:t>
      </w:r>
      <w:r w:rsidRPr="00FB71DC">
        <w:t xml:space="preserve"> or Department of Communities and Justice (DCJ) caseworker as per eligibility criteria. </w:t>
      </w:r>
    </w:p>
    <w:p w:rsidR="00833746" w:rsidRDefault="00833746" w:rsidP="00833746">
      <w:pPr>
        <w:pStyle w:val="Heading3"/>
        <w:rPr>
          <w:sz w:val="24"/>
          <w:szCs w:val="24"/>
        </w:rPr>
      </w:pPr>
      <w:r w:rsidRPr="001758FE">
        <w:rPr>
          <w:sz w:val="24"/>
          <w:szCs w:val="24"/>
        </w:rPr>
        <w:t>Pre-screening (Suitability Consult)</w:t>
      </w:r>
      <w:r>
        <w:rPr>
          <w:sz w:val="24"/>
          <w:szCs w:val="24"/>
        </w:rPr>
        <w:t xml:space="preserve"> </w:t>
      </w:r>
    </w:p>
    <w:p w:rsidR="00833746" w:rsidRDefault="005A16D6" w:rsidP="00833746">
      <w:pPr>
        <w:jc w:val="both"/>
      </w:pPr>
      <w:r>
        <w:t>In some districts, p</w:t>
      </w:r>
      <w:r w:rsidR="00833746" w:rsidRPr="0037464D">
        <w:t xml:space="preserve">rior to a referral being made the referring agency </w:t>
      </w:r>
      <w:r w:rsidR="00833746">
        <w:t>(DCJ or a service provider)</w:t>
      </w:r>
      <w:r>
        <w:t>,</w:t>
      </w:r>
      <w:r w:rsidR="00833746">
        <w:t xml:space="preserve"> may</w:t>
      </w:r>
      <w:r w:rsidR="00833746" w:rsidRPr="0037464D">
        <w:t xml:space="preserve"> contact their permanency support coordinator </w:t>
      </w:r>
      <w:r w:rsidR="00833746">
        <w:t xml:space="preserve">(PC) </w:t>
      </w:r>
      <w:r w:rsidR="00833746" w:rsidRPr="0037464D">
        <w:t>to determine whether ITTC outreach would be beneficial for a child, young person, or their carer, or whether another service would be more appropriate based on their needs.</w:t>
      </w:r>
      <w:r w:rsidR="00833746">
        <w:t xml:space="preserve"> </w:t>
      </w:r>
    </w:p>
    <w:p w:rsidR="00833746" w:rsidRPr="001758FE" w:rsidRDefault="00833746" w:rsidP="00833746">
      <w:pPr>
        <w:pStyle w:val="Heading3"/>
        <w:rPr>
          <w:sz w:val="24"/>
          <w:szCs w:val="24"/>
        </w:rPr>
      </w:pPr>
      <w:r>
        <w:rPr>
          <w:sz w:val="24"/>
          <w:szCs w:val="24"/>
        </w:rPr>
        <w:t>Referral pathway</w:t>
      </w:r>
    </w:p>
    <w:p w:rsidR="00833746" w:rsidRDefault="00833746" w:rsidP="00833746">
      <w:pPr>
        <w:jc w:val="both"/>
      </w:pPr>
      <w:r>
        <w:t>Referrals for ITTC Outreach can be</w:t>
      </w:r>
      <w:r w:rsidRPr="00FB71DC">
        <w:t xml:space="preserve"> made </w:t>
      </w:r>
      <w:r>
        <w:t xml:space="preserve">by completing the </w:t>
      </w:r>
      <w:r w:rsidRPr="0024220D">
        <w:t>ITTC Outreach Referral Form</w:t>
      </w:r>
      <w:r w:rsidRPr="0024220D">
        <w:rPr>
          <w:i/>
        </w:rPr>
        <w:t xml:space="preserve"> </w:t>
      </w:r>
      <w:r>
        <w:t>and emailing it to</w:t>
      </w:r>
      <w:r w:rsidRPr="00FB71DC">
        <w:t xml:space="preserve"> the </w:t>
      </w:r>
      <w:r>
        <w:t xml:space="preserve">local agreed mailbox in the district. </w:t>
      </w:r>
    </w:p>
    <w:p w:rsidR="00833746" w:rsidRDefault="00833746" w:rsidP="00833746">
      <w:pPr>
        <w:jc w:val="both"/>
      </w:pPr>
      <w:r>
        <w:t xml:space="preserve">If the referral meets the eligibility criteria the District sends it to the Therapeutic Specialist and Multidisciplinary Team at the ITTC unit. </w:t>
      </w:r>
    </w:p>
    <w:p w:rsidR="00833746" w:rsidRDefault="00833746" w:rsidP="00833746">
      <w:pPr>
        <w:jc w:val="both"/>
      </w:pPr>
      <w:r>
        <w:t xml:space="preserve">The Therapeutic Specialist assesses the referral based on capacity (taking in to consideration current ITTC placements and outreach support) and completes the ‘Referral Outcome’ section of the referral form (including reasons for non-acceptance). </w:t>
      </w:r>
    </w:p>
    <w:p w:rsidR="00833746" w:rsidRDefault="00833746" w:rsidP="00833746">
      <w:pPr>
        <w:jc w:val="both"/>
      </w:pPr>
      <w:r>
        <w:t xml:space="preserve">If the referral is accepted the Therapeutic Specialist immediately contacts the allocated caseworker </w:t>
      </w:r>
      <w:r w:rsidR="005A16D6">
        <w:t>and</w:t>
      </w:r>
      <w:r>
        <w:t xml:space="preserve"> </w:t>
      </w:r>
      <w:r w:rsidR="005A16D6">
        <w:t xml:space="preserve">commences </w:t>
      </w:r>
      <w:r>
        <w:t>develop</w:t>
      </w:r>
      <w:r w:rsidR="005A16D6">
        <w:t>ment of</w:t>
      </w:r>
      <w:r>
        <w:t xml:space="preserve"> an ITTC Outreach Plan. </w:t>
      </w:r>
      <w:r w:rsidR="005A16D6">
        <w:t>This could include brin</w:t>
      </w:r>
      <w:r w:rsidR="000628DE">
        <w:t>g</w:t>
      </w:r>
      <w:r w:rsidR="005A16D6">
        <w:t>ing together all the relevant stakeholders in the child or young person’s life through a care team meeting.</w:t>
      </w:r>
      <w:r>
        <w:t xml:space="preserve">  </w:t>
      </w:r>
    </w:p>
    <w:p w:rsidR="00833746" w:rsidRDefault="00833746" w:rsidP="00833746">
      <w:pPr>
        <w:jc w:val="both"/>
      </w:pPr>
      <w:r>
        <w:t xml:space="preserve">If the ITTC Unit declines the referral CFDU </w:t>
      </w:r>
      <w:r w:rsidR="005A16D6">
        <w:t>will pass on the outcome to the</w:t>
      </w:r>
      <w:r>
        <w:t xml:space="preserve"> caseworker</w:t>
      </w:r>
      <w:r w:rsidR="005A16D6">
        <w:t>, who could consult with</w:t>
      </w:r>
      <w:r>
        <w:t xml:space="preserve"> the Permanency Support Coordinator for support.  </w:t>
      </w:r>
    </w:p>
    <w:p w:rsidR="00833746" w:rsidRDefault="00833746" w:rsidP="00833746">
      <w:pPr>
        <w:pStyle w:val="Heading2"/>
        <w:rPr>
          <w:b w:val="0"/>
          <w:sz w:val="24"/>
          <w:szCs w:val="24"/>
        </w:rPr>
      </w:pPr>
      <w:r w:rsidRPr="00060FFF">
        <w:rPr>
          <w:b w:val="0"/>
          <w:sz w:val="24"/>
          <w:szCs w:val="24"/>
        </w:rPr>
        <w:t xml:space="preserve">Referrals when </w:t>
      </w:r>
      <w:r>
        <w:rPr>
          <w:b w:val="0"/>
          <w:sz w:val="24"/>
          <w:szCs w:val="24"/>
        </w:rPr>
        <w:t>an ITTC unit covers more than one CFDU</w:t>
      </w:r>
    </w:p>
    <w:p w:rsidR="00833746" w:rsidRDefault="00833746" w:rsidP="00833746">
      <w:pPr>
        <w:jc w:val="both"/>
      </w:pPr>
      <w:r>
        <w:t>In some ITTC locations the unit may cover more than one CFDU. To ensure a consistent process the</w:t>
      </w:r>
      <w:r w:rsidR="005A16D6">
        <w:t>re should be a lead CFDU identified for the location.</w:t>
      </w:r>
      <w:r>
        <w:t xml:space="preserve"> </w:t>
      </w:r>
      <w:r w:rsidR="005A16D6">
        <w:t xml:space="preserve">The </w:t>
      </w:r>
      <w:r>
        <w:t xml:space="preserve">following steps should be followed by the local CFDU once a referral is received. </w:t>
      </w:r>
    </w:p>
    <w:p w:rsidR="00833746" w:rsidRDefault="00833746" w:rsidP="00833746">
      <w:pPr>
        <w:jc w:val="both"/>
      </w:pPr>
      <w:r>
        <w:t xml:space="preserve">The local CFDU assesses the referral against the eligibility criteria and sends it to the lead CFDU. </w:t>
      </w:r>
    </w:p>
    <w:p w:rsidR="00833746" w:rsidRDefault="00833746" w:rsidP="00833746">
      <w:pPr>
        <w:jc w:val="both"/>
      </w:pPr>
      <w:r>
        <w:t>The CFDU in the lead district assesses the referral based on the capacity of the unit and forwards the referral to the ITTC unit.</w:t>
      </w:r>
    </w:p>
    <w:p w:rsidR="00833746" w:rsidRDefault="00833746" w:rsidP="00833746">
      <w:pPr>
        <w:jc w:val="both"/>
      </w:pPr>
      <w:r>
        <w:t>The ITTC unit (as per referral process) assess their capacity to provide outreach and advise the CFDU in the lead district of the outcome.</w:t>
      </w:r>
    </w:p>
    <w:p w:rsidR="00833746" w:rsidRDefault="00833746" w:rsidP="00833746">
      <w:pPr>
        <w:jc w:val="both"/>
      </w:pPr>
      <w:r>
        <w:t xml:space="preserve">The CFDU in the lead district informs the local CFDU of the outcome. The local CFDU contact the referring agency to inform them of the referral outcome. </w:t>
      </w:r>
    </w:p>
    <w:p w:rsidR="00833746" w:rsidRDefault="00833746" w:rsidP="00833746">
      <w:pPr>
        <w:pStyle w:val="Heading2"/>
        <w:rPr>
          <w:sz w:val="28"/>
        </w:rPr>
      </w:pPr>
      <w:r>
        <w:rPr>
          <w:sz w:val="28"/>
        </w:rPr>
        <w:t>Care Team Meetings:</w:t>
      </w:r>
    </w:p>
    <w:p w:rsidR="00833746" w:rsidRDefault="00833746" w:rsidP="00833746">
      <w:pPr>
        <w:keepNext/>
        <w:autoSpaceDE w:val="0"/>
        <w:autoSpaceDN w:val="0"/>
        <w:adjustRightInd w:val="0"/>
        <w:spacing w:after="290"/>
        <w:outlineLvl w:val="0"/>
      </w:pPr>
      <w:bookmarkStart w:id="4" w:name="_Toc24541153"/>
      <w:bookmarkStart w:id="5" w:name="_Toc24541380"/>
      <w:bookmarkStart w:id="6" w:name="_Toc24638456"/>
      <w:bookmarkStart w:id="7" w:name="_Toc24639468"/>
      <w:r>
        <w:t xml:space="preserve">Care Team Meetings </w:t>
      </w:r>
      <w:r w:rsidR="00B0484D">
        <w:t>can</w:t>
      </w:r>
      <w:r>
        <w:t xml:space="preserve"> be arranged and facilitated by the ITTC service provider to develop an outreach plan through the course of the engagement of services.   </w:t>
      </w:r>
    </w:p>
    <w:bookmarkEnd w:id="4"/>
    <w:bookmarkEnd w:id="5"/>
    <w:bookmarkEnd w:id="6"/>
    <w:bookmarkEnd w:id="7"/>
    <w:p w:rsidR="00833746" w:rsidRDefault="00833746" w:rsidP="00833746">
      <w:pPr>
        <w:pStyle w:val="NoSpacing"/>
        <w:jc w:val="both"/>
        <w:rPr>
          <w:rFonts w:ascii="Arial" w:hAnsi="Arial" w:cs="Arial"/>
          <w:sz w:val="24"/>
          <w:szCs w:val="24"/>
        </w:rPr>
      </w:pPr>
      <w:r>
        <w:rPr>
          <w:rFonts w:ascii="Arial" w:hAnsi="Arial" w:cs="Arial"/>
          <w:sz w:val="24"/>
          <w:szCs w:val="24"/>
        </w:rPr>
        <w:t xml:space="preserve">A </w:t>
      </w:r>
      <w:r w:rsidRPr="00F941DD">
        <w:rPr>
          <w:rFonts w:ascii="Arial" w:hAnsi="Arial" w:cs="Arial"/>
          <w:sz w:val="24"/>
          <w:szCs w:val="24"/>
        </w:rPr>
        <w:t xml:space="preserve">review </w:t>
      </w:r>
      <w:r>
        <w:rPr>
          <w:rFonts w:ascii="Arial" w:hAnsi="Arial" w:cs="Arial"/>
          <w:sz w:val="24"/>
          <w:szCs w:val="24"/>
        </w:rPr>
        <w:t xml:space="preserve">of </w:t>
      </w:r>
      <w:r w:rsidRPr="00F941DD">
        <w:rPr>
          <w:rFonts w:ascii="Arial" w:hAnsi="Arial" w:cs="Arial"/>
          <w:sz w:val="24"/>
          <w:szCs w:val="24"/>
        </w:rPr>
        <w:t xml:space="preserve">the plan, its implementation and progress </w:t>
      </w:r>
      <w:r>
        <w:rPr>
          <w:rFonts w:ascii="Arial" w:hAnsi="Arial" w:cs="Arial"/>
          <w:sz w:val="24"/>
          <w:szCs w:val="24"/>
        </w:rPr>
        <w:t>should be conducted at each</w:t>
      </w:r>
      <w:r w:rsidRPr="00F941DD">
        <w:rPr>
          <w:rFonts w:ascii="Arial" w:hAnsi="Arial" w:cs="Arial"/>
          <w:sz w:val="24"/>
          <w:szCs w:val="24"/>
        </w:rPr>
        <w:t xml:space="preserve"> care team meeting</w:t>
      </w:r>
      <w:r w:rsidR="00D461C2">
        <w:rPr>
          <w:rFonts w:ascii="Arial" w:hAnsi="Arial" w:cs="Arial"/>
          <w:sz w:val="24"/>
          <w:szCs w:val="24"/>
        </w:rPr>
        <w:t xml:space="preserve">, which could include </w:t>
      </w:r>
      <w:r>
        <w:rPr>
          <w:rFonts w:ascii="Arial" w:hAnsi="Arial" w:cs="Arial"/>
          <w:sz w:val="24"/>
          <w:szCs w:val="24"/>
        </w:rPr>
        <w:t xml:space="preserve">the caseworker with primary case responsibility. </w:t>
      </w:r>
    </w:p>
    <w:p w:rsidR="00833746" w:rsidRDefault="00833746" w:rsidP="00833746">
      <w:pPr>
        <w:pStyle w:val="Heading2"/>
        <w:rPr>
          <w:sz w:val="28"/>
        </w:rPr>
      </w:pPr>
      <w:r>
        <w:rPr>
          <w:sz w:val="28"/>
        </w:rPr>
        <w:t>Monitoring:</w:t>
      </w:r>
    </w:p>
    <w:p w:rsidR="00833746" w:rsidRPr="008946F4" w:rsidRDefault="00833746" w:rsidP="00833746">
      <w:pPr>
        <w:jc w:val="both"/>
      </w:pPr>
      <w:r>
        <w:t xml:space="preserve">Whilst further work is being progressed on monitoring mechanisms, Districts may wish to consider monitoring referrals in consultation with contract managers. </w:t>
      </w:r>
    </w:p>
    <w:p w:rsidR="00833746" w:rsidRDefault="00833746" w:rsidP="00833746">
      <w:pPr>
        <w:pStyle w:val="Heading2"/>
        <w:rPr>
          <w:sz w:val="28"/>
        </w:rPr>
      </w:pPr>
      <w:r>
        <w:rPr>
          <w:sz w:val="28"/>
        </w:rPr>
        <w:t>Case responsibility during ITTC outreach:</w:t>
      </w:r>
    </w:p>
    <w:p w:rsidR="00833746" w:rsidRPr="006F78FA" w:rsidRDefault="00833746" w:rsidP="00833746">
      <w:pPr>
        <w:autoSpaceDE w:val="0"/>
        <w:autoSpaceDN w:val="0"/>
        <w:adjustRightInd w:val="0"/>
        <w:jc w:val="both"/>
        <w:rPr>
          <w:rFonts w:cs="Arial"/>
        </w:rPr>
      </w:pPr>
      <w:r w:rsidRPr="006F78FA">
        <w:rPr>
          <w:rFonts w:cs="Arial"/>
        </w:rPr>
        <w:t>Under PSP, children and young people are placed with a non-government service provider who has</w:t>
      </w:r>
      <w:r>
        <w:rPr>
          <w:rFonts w:cs="Arial"/>
        </w:rPr>
        <w:t xml:space="preserve"> primary case</w:t>
      </w:r>
      <w:r w:rsidRPr="006F78FA">
        <w:rPr>
          <w:rFonts w:cs="Arial"/>
        </w:rPr>
        <w:t xml:space="preserve"> responsibility. The service provider receives funding via PSP packages to cover the cost of providing case management as well as services and supports to address the needs of children and young people in their care.</w:t>
      </w:r>
    </w:p>
    <w:p w:rsidR="00833746" w:rsidRDefault="00833746" w:rsidP="00833746">
      <w:pPr>
        <w:jc w:val="both"/>
      </w:pPr>
      <w:r>
        <w:t xml:space="preserve">When a referral is accepted for ITTC outreach primary case responsibility remains with the referring agency whether that is DCJ or a SP. Case co-ordination of outreach services will however be provided by the ITTC Unit. </w:t>
      </w:r>
    </w:p>
    <w:p w:rsidR="00833746" w:rsidRDefault="00833746" w:rsidP="00833746">
      <w:pPr>
        <w:jc w:val="both"/>
        <w:rPr>
          <w:rFonts w:cs="Arial"/>
        </w:rPr>
      </w:pPr>
      <w:r w:rsidRPr="000745E5">
        <w:rPr>
          <w:rFonts w:cs="Arial"/>
        </w:rPr>
        <w:t xml:space="preserve">Whilst the ITTC multi-disciplinary team will assist in making referrals, and reviewing and making recommendations to guide case plan goals, their role does not include tasks associated with </w:t>
      </w:r>
      <w:r>
        <w:rPr>
          <w:rFonts w:cs="Arial"/>
        </w:rPr>
        <w:t xml:space="preserve">primary </w:t>
      </w:r>
      <w:r w:rsidRPr="000745E5">
        <w:rPr>
          <w:rFonts w:cs="Arial"/>
        </w:rPr>
        <w:t>case responsibility.</w:t>
      </w:r>
    </w:p>
    <w:p w:rsidR="00833746" w:rsidRDefault="00833746" w:rsidP="00833746">
      <w:pPr>
        <w:pStyle w:val="Heading2"/>
        <w:rPr>
          <w:sz w:val="28"/>
        </w:rPr>
      </w:pPr>
      <w:r>
        <w:rPr>
          <w:sz w:val="28"/>
        </w:rPr>
        <w:t>Exiting process:</w:t>
      </w:r>
    </w:p>
    <w:p w:rsidR="00833746" w:rsidRPr="001939F9" w:rsidRDefault="00833746" w:rsidP="00833746">
      <w:r>
        <w:t xml:space="preserve">During the course of outreach ITTC service providers should provide District staff with copies of Outreach Plans and advise when support is close to completion. </w:t>
      </w:r>
      <w:r w:rsidRPr="001939F9">
        <w:t xml:space="preserve"> </w:t>
      </w:r>
    </w:p>
    <w:p w:rsidR="00833746" w:rsidRPr="009C685E" w:rsidRDefault="00833746" w:rsidP="00833746">
      <w:pPr>
        <w:pStyle w:val="Heading2"/>
      </w:pPr>
      <w:r>
        <w:rPr>
          <w:b w:val="0"/>
          <w:color w:val="auto"/>
          <w:sz w:val="24"/>
          <w:szCs w:val="24"/>
        </w:rPr>
        <w:t>At cessation of service provision the Therapeutic Specialist (ITTC) should complete the ITTC Outreach Exit Summary, including a</w:t>
      </w:r>
      <w:r w:rsidRPr="00B25D33">
        <w:rPr>
          <w:b w:val="0"/>
          <w:color w:val="auto"/>
          <w:sz w:val="24"/>
          <w:szCs w:val="24"/>
        </w:rPr>
        <w:t>ny recommendations for future supports or intervention</w:t>
      </w:r>
      <w:r>
        <w:rPr>
          <w:b w:val="0"/>
          <w:color w:val="auto"/>
          <w:sz w:val="24"/>
          <w:szCs w:val="24"/>
        </w:rPr>
        <w:t>. The report should be discussed with t</w:t>
      </w:r>
      <w:r w:rsidRPr="00B25D33">
        <w:rPr>
          <w:b w:val="0"/>
          <w:color w:val="auto"/>
          <w:sz w:val="24"/>
          <w:szCs w:val="24"/>
        </w:rPr>
        <w:t>he caseworker with primary case responsibility</w:t>
      </w:r>
      <w:r>
        <w:rPr>
          <w:b w:val="0"/>
          <w:color w:val="auto"/>
          <w:sz w:val="24"/>
          <w:szCs w:val="24"/>
        </w:rPr>
        <w:t>, with a copy sent to the district mailbox</w:t>
      </w:r>
      <w:r w:rsidRPr="00B25D33">
        <w:rPr>
          <w:b w:val="0"/>
          <w:color w:val="auto"/>
          <w:sz w:val="24"/>
          <w:szCs w:val="24"/>
        </w:rPr>
        <w:t>.</w:t>
      </w:r>
    </w:p>
    <w:p w:rsidR="00833746" w:rsidRDefault="00833746" w:rsidP="00833746">
      <w:pPr>
        <w:pStyle w:val="Heading2"/>
        <w:rPr>
          <w:sz w:val="28"/>
        </w:rPr>
      </w:pPr>
      <w:r>
        <w:rPr>
          <w:sz w:val="28"/>
        </w:rPr>
        <w:t>Support and advice:</w:t>
      </w:r>
    </w:p>
    <w:p w:rsidR="00833746" w:rsidRPr="00A40A3F" w:rsidRDefault="00833746" w:rsidP="00833746">
      <w:pPr>
        <w:pStyle w:val="Heading2"/>
        <w:rPr>
          <w:b w:val="0"/>
          <w:color w:val="auto"/>
          <w:sz w:val="24"/>
          <w:szCs w:val="24"/>
        </w:rPr>
      </w:pPr>
      <w:r>
        <w:rPr>
          <w:b w:val="0"/>
          <w:color w:val="auto"/>
          <w:sz w:val="24"/>
          <w:szCs w:val="24"/>
        </w:rPr>
        <w:t xml:space="preserve">For more information contact </w:t>
      </w:r>
      <w:hyperlink r:id="rId13" w:history="1">
        <w:r w:rsidRPr="000607B1">
          <w:rPr>
            <w:rStyle w:val="Hyperlink"/>
            <w:b w:val="0"/>
            <w:sz w:val="24"/>
            <w:szCs w:val="24"/>
          </w:rPr>
          <w:t>OOHCRecontracting@facs.nsw.gov.au</w:t>
        </w:r>
      </w:hyperlink>
      <w:r>
        <w:rPr>
          <w:b w:val="0"/>
          <w:color w:val="auto"/>
          <w:sz w:val="24"/>
          <w:szCs w:val="24"/>
        </w:rPr>
        <w:t xml:space="preserve"> </w:t>
      </w:r>
    </w:p>
    <w:p w:rsidR="00833746" w:rsidRDefault="00833746" w:rsidP="00833746"/>
    <w:p w:rsidR="00833746" w:rsidRDefault="00833746" w:rsidP="00833746"/>
    <w:p w:rsidR="00833746" w:rsidRDefault="00833746" w:rsidP="00833746"/>
    <w:p w:rsidR="00833746" w:rsidRDefault="00833746" w:rsidP="00833746"/>
    <w:p w:rsidR="00833746" w:rsidRDefault="00833746" w:rsidP="00833746"/>
    <w:p w:rsidR="00833746" w:rsidRDefault="00833746" w:rsidP="00833746"/>
    <w:p w:rsidR="00833746" w:rsidRPr="007528EF" w:rsidRDefault="00833746" w:rsidP="00833746"/>
    <w:p w:rsidR="0075181C" w:rsidRPr="00833746" w:rsidRDefault="0075181C" w:rsidP="00833746"/>
    <w:sectPr w:rsidR="0075181C" w:rsidRPr="00833746" w:rsidSect="000B366D">
      <w:headerReference w:type="default" r:id="rId14"/>
      <w:footerReference w:type="default" r:id="rId15"/>
      <w:pgSz w:w="11906" w:h="16838"/>
      <w:pgMar w:top="2516" w:right="1800" w:bottom="1276" w:left="1800" w:header="0"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3C" w:rsidRDefault="007A563C">
      <w:r>
        <w:separator/>
      </w:r>
    </w:p>
  </w:endnote>
  <w:endnote w:type="continuationSeparator" w:id="0">
    <w:p w:rsidR="007A563C" w:rsidRDefault="007A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32" w:rsidRPr="00EC070F" w:rsidRDefault="002A7B57">
    <w:pPr>
      <w:pStyle w:val="Footer"/>
      <w:rPr>
        <w:rFonts w:cs="Arial"/>
        <w:color w:val="4C8C2B"/>
      </w:rPr>
    </w:pPr>
    <w:r>
      <w:rPr>
        <w:rFonts w:cs="Arial"/>
        <w:color w:val="4C8C2B"/>
      </w:rPr>
      <w:t xml:space="preserve">FACTSHEET: ITTC Outreach </w:t>
    </w:r>
    <w:r w:rsidR="0075181C">
      <w:rPr>
        <w:rFonts w:cs="Arial"/>
        <w:color w:val="4C8C2B"/>
      </w:rPr>
      <w:t xml:space="preserve">                                       </w:t>
    </w:r>
    <w:r w:rsidR="00D60132" w:rsidRPr="00EC070F">
      <w:rPr>
        <w:rFonts w:cs="Arial"/>
        <w:color w:val="4C8C2B"/>
      </w:rPr>
      <w:t>www.</w:t>
    </w:r>
    <w:r w:rsidR="00FD203E">
      <w:rPr>
        <w:rFonts w:cs="Arial"/>
        <w:color w:val="4C8C2B"/>
      </w:rPr>
      <w:t>dcj</w:t>
    </w:r>
    <w:r w:rsidR="00D60132" w:rsidRPr="00EC070F">
      <w:rPr>
        <w:rFonts w:cs="Arial"/>
        <w:color w:val="4C8C2B"/>
      </w:rPr>
      <w:t xml:space="preserve">.nsw.gov.au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3C" w:rsidRDefault="007A563C">
      <w:r>
        <w:separator/>
      </w:r>
    </w:p>
  </w:footnote>
  <w:footnote w:type="continuationSeparator" w:id="0">
    <w:p w:rsidR="007A563C" w:rsidRDefault="007A563C">
      <w:r>
        <w:continuationSeparator/>
      </w:r>
    </w:p>
  </w:footnote>
  <w:footnote w:id="1">
    <w:p w:rsidR="00833746" w:rsidRPr="000015DD" w:rsidRDefault="00833746" w:rsidP="00833746">
      <w:pPr>
        <w:pStyle w:val="FootnoteText"/>
        <w:rPr>
          <w:lang w:val="en-US"/>
        </w:rPr>
      </w:pPr>
      <w:r>
        <w:rPr>
          <w:rStyle w:val="FootnoteReference"/>
        </w:rPr>
        <w:footnoteRef/>
      </w:r>
      <w:r>
        <w:t xml:space="preserve"> </w:t>
      </w:r>
      <w:r>
        <w:rPr>
          <w:lang w:val="en-US"/>
        </w:rPr>
        <w:t>This includes children and young people placed with PSP funded 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32" w:rsidRDefault="007B05A5" w:rsidP="00EC070F">
    <w:pPr>
      <w:pStyle w:val="Factsheet"/>
      <w:ind w:left="7200"/>
      <w:jc w:val="left"/>
    </w:pPr>
    <w:r>
      <w:rPr>
        <w:noProof/>
      </w:rPr>
      <w:drawing>
        <wp:anchor distT="0" distB="0" distL="114300" distR="114300" simplePos="0" relativeHeight="251657216" behindDoc="1" locked="0" layoutInCell="1" allowOverlap="1" wp14:anchorId="2DEE2E93" wp14:editId="257D9838">
          <wp:simplePos x="0" y="0"/>
          <wp:positionH relativeFrom="margin">
            <wp:posOffset>-1104900</wp:posOffset>
          </wp:positionH>
          <wp:positionV relativeFrom="paragraph">
            <wp:posOffset>180975</wp:posOffset>
          </wp:positionV>
          <wp:extent cx="7485380" cy="17049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 replacement.jpg"/>
                  <pic:cNvPicPr/>
                </pic:nvPicPr>
                <pic:blipFill>
                  <a:blip r:embed="rId1">
                    <a:extLst>
                      <a:ext uri="{28A0092B-C50C-407E-A947-70E740481C1C}">
                        <a14:useLocalDpi xmlns:a14="http://schemas.microsoft.com/office/drawing/2010/main" val="0"/>
                      </a:ext>
                    </a:extLst>
                  </a:blip>
                  <a:stretch>
                    <a:fillRect/>
                  </a:stretch>
                </pic:blipFill>
                <pic:spPr>
                  <a:xfrm>
                    <a:off x="0" y="0"/>
                    <a:ext cx="7489714" cy="1705962"/>
                  </a:xfrm>
                  <a:prstGeom prst="rect">
                    <a:avLst/>
                  </a:prstGeom>
                </pic:spPr>
              </pic:pic>
            </a:graphicData>
          </a:graphic>
          <wp14:sizeRelH relativeFrom="page">
            <wp14:pctWidth>0</wp14:pctWidth>
          </wp14:sizeRelH>
          <wp14:sizeRelV relativeFrom="page">
            <wp14:pctHeight>0</wp14:pctHeight>
          </wp14:sizeRelV>
        </wp:anchor>
      </w:drawing>
    </w:r>
  </w:p>
  <w:p w:rsidR="00393379" w:rsidRPr="008355C2" w:rsidRDefault="00393379" w:rsidP="00EC070F">
    <w:pPr>
      <w:pStyle w:val="Factsheet"/>
      <w:ind w:left="7200"/>
      <w:jc w:val="left"/>
    </w:pPr>
    <w:r>
      <w:t>Factsheet</w:t>
    </w:r>
  </w:p>
  <w:p w:rsidR="007B05A5" w:rsidRDefault="00DB1872" w:rsidP="001909CA">
    <w:pPr>
      <w:pStyle w:val="Issuedate"/>
    </w:pPr>
    <w:r>
      <w:t>May</w:t>
    </w:r>
    <w:r w:rsidR="007B05A5">
      <w:t xml:space="preserve"> 2020 </w:t>
    </w:r>
    <w:r w:rsidR="00EC070F">
      <w:br/>
    </w:r>
    <w:r w:rsidR="00DE7407">
      <w:t>ITTC Outreach</w:t>
    </w:r>
    <w:r w:rsidR="008F4606">
      <w:t xml:space="preserve"> </w:t>
    </w:r>
  </w:p>
  <w:p w:rsidR="00D60132" w:rsidRDefault="00D60132" w:rsidP="001909CA">
    <w:pPr>
      <w:pStyle w:val="Issuedate"/>
    </w:pPr>
  </w:p>
  <w:p w:rsidR="007B05A5" w:rsidRPr="001F5B89" w:rsidRDefault="007B05A5" w:rsidP="001909CA">
    <w:pPr>
      <w:pStyle w:val="Issueda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9ACFB2"/>
    <w:lvl w:ilvl="0">
      <w:numFmt w:val="bullet"/>
      <w:lvlText w:val="*"/>
      <w:lvlJc w:val="left"/>
    </w:lvl>
  </w:abstractNum>
  <w:abstractNum w:abstractNumId="1" w15:restartNumberingAfterBreak="0">
    <w:nsid w:val="034E768B"/>
    <w:multiLevelType w:val="hybridMultilevel"/>
    <w:tmpl w:val="E8C2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44D9D"/>
    <w:multiLevelType w:val="hybridMultilevel"/>
    <w:tmpl w:val="78BC6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556A6A"/>
    <w:multiLevelType w:val="hybridMultilevel"/>
    <w:tmpl w:val="7F48644A"/>
    <w:lvl w:ilvl="0" w:tplc="9F449A94">
      <w:start w:val="1"/>
      <w:numFmt w:val="bullet"/>
      <w:lvlText w:val=""/>
      <w:lvlJc w:val="left"/>
      <w:pPr>
        <w:tabs>
          <w:tab w:val="num" w:pos="227"/>
        </w:tabs>
        <w:ind w:left="227"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E754A"/>
    <w:multiLevelType w:val="hybridMultilevel"/>
    <w:tmpl w:val="E3EC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60CBB"/>
    <w:multiLevelType w:val="hybridMultilevel"/>
    <w:tmpl w:val="4BA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39270A"/>
    <w:multiLevelType w:val="hybridMultilevel"/>
    <w:tmpl w:val="CEA2BB56"/>
    <w:lvl w:ilvl="0" w:tplc="C5A6EF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B27DD"/>
    <w:multiLevelType w:val="hybridMultilevel"/>
    <w:tmpl w:val="E2AC6024"/>
    <w:lvl w:ilvl="0" w:tplc="C5A6EFAA">
      <w:start w:val="1"/>
      <w:numFmt w:val="bullet"/>
      <w:lvlText w:val="-"/>
      <w:lvlJc w:val="left"/>
      <w:pPr>
        <w:tabs>
          <w:tab w:val="num" w:pos="720"/>
        </w:tabs>
        <w:ind w:left="720" w:hanging="360"/>
      </w:pPr>
      <w:rPr>
        <w:rFonts w:ascii="Times New Roman" w:hAnsi="Times New Roman" w:hint="default"/>
      </w:rPr>
    </w:lvl>
    <w:lvl w:ilvl="1" w:tplc="F9C236FA" w:tentative="1">
      <w:start w:val="1"/>
      <w:numFmt w:val="bullet"/>
      <w:lvlText w:val="-"/>
      <w:lvlJc w:val="left"/>
      <w:pPr>
        <w:tabs>
          <w:tab w:val="num" w:pos="1440"/>
        </w:tabs>
        <w:ind w:left="1440" w:hanging="360"/>
      </w:pPr>
      <w:rPr>
        <w:rFonts w:ascii="Times New Roman" w:hAnsi="Times New Roman" w:hint="default"/>
      </w:rPr>
    </w:lvl>
    <w:lvl w:ilvl="2" w:tplc="6E2CF07E" w:tentative="1">
      <w:start w:val="1"/>
      <w:numFmt w:val="bullet"/>
      <w:lvlText w:val="-"/>
      <w:lvlJc w:val="left"/>
      <w:pPr>
        <w:tabs>
          <w:tab w:val="num" w:pos="2160"/>
        </w:tabs>
        <w:ind w:left="2160" w:hanging="360"/>
      </w:pPr>
      <w:rPr>
        <w:rFonts w:ascii="Times New Roman" w:hAnsi="Times New Roman" w:hint="default"/>
      </w:rPr>
    </w:lvl>
    <w:lvl w:ilvl="3" w:tplc="B50AAE54" w:tentative="1">
      <w:start w:val="1"/>
      <w:numFmt w:val="bullet"/>
      <w:lvlText w:val="-"/>
      <w:lvlJc w:val="left"/>
      <w:pPr>
        <w:tabs>
          <w:tab w:val="num" w:pos="2880"/>
        </w:tabs>
        <w:ind w:left="2880" w:hanging="360"/>
      </w:pPr>
      <w:rPr>
        <w:rFonts w:ascii="Times New Roman" w:hAnsi="Times New Roman" w:hint="default"/>
      </w:rPr>
    </w:lvl>
    <w:lvl w:ilvl="4" w:tplc="64CEB374" w:tentative="1">
      <w:start w:val="1"/>
      <w:numFmt w:val="bullet"/>
      <w:lvlText w:val="-"/>
      <w:lvlJc w:val="left"/>
      <w:pPr>
        <w:tabs>
          <w:tab w:val="num" w:pos="3600"/>
        </w:tabs>
        <w:ind w:left="3600" w:hanging="360"/>
      </w:pPr>
      <w:rPr>
        <w:rFonts w:ascii="Times New Roman" w:hAnsi="Times New Roman" w:hint="default"/>
      </w:rPr>
    </w:lvl>
    <w:lvl w:ilvl="5" w:tplc="EC229796" w:tentative="1">
      <w:start w:val="1"/>
      <w:numFmt w:val="bullet"/>
      <w:lvlText w:val="-"/>
      <w:lvlJc w:val="left"/>
      <w:pPr>
        <w:tabs>
          <w:tab w:val="num" w:pos="4320"/>
        </w:tabs>
        <w:ind w:left="4320" w:hanging="360"/>
      </w:pPr>
      <w:rPr>
        <w:rFonts w:ascii="Times New Roman" w:hAnsi="Times New Roman" w:hint="default"/>
      </w:rPr>
    </w:lvl>
    <w:lvl w:ilvl="6" w:tplc="F0A0D224" w:tentative="1">
      <w:start w:val="1"/>
      <w:numFmt w:val="bullet"/>
      <w:lvlText w:val="-"/>
      <w:lvlJc w:val="left"/>
      <w:pPr>
        <w:tabs>
          <w:tab w:val="num" w:pos="5040"/>
        </w:tabs>
        <w:ind w:left="5040" w:hanging="360"/>
      </w:pPr>
      <w:rPr>
        <w:rFonts w:ascii="Times New Roman" w:hAnsi="Times New Roman" w:hint="default"/>
      </w:rPr>
    </w:lvl>
    <w:lvl w:ilvl="7" w:tplc="4372F92A" w:tentative="1">
      <w:start w:val="1"/>
      <w:numFmt w:val="bullet"/>
      <w:lvlText w:val="-"/>
      <w:lvlJc w:val="left"/>
      <w:pPr>
        <w:tabs>
          <w:tab w:val="num" w:pos="5760"/>
        </w:tabs>
        <w:ind w:left="5760" w:hanging="360"/>
      </w:pPr>
      <w:rPr>
        <w:rFonts w:ascii="Times New Roman" w:hAnsi="Times New Roman" w:hint="default"/>
      </w:rPr>
    </w:lvl>
    <w:lvl w:ilvl="8" w:tplc="5A68A2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5E33A5"/>
    <w:multiLevelType w:val="hybridMultilevel"/>
    <w:tmpl w:val="FF04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F31E2"/>
    <w:multiLevelType w:val="hybridMultilevel"/>
    <w:tmpl w:val="F312B81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015E8E"/>
    <w:multiLevelType w:val="hybridMultilevel"/>
    <w:tmpl w:val="668696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B693638"/>
    <w:multiLevelType w:val="hybridMultilevel"/>
    <w:tmpl w:val="9CB2D21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B15C0"/>
    <w:multiLevelType w:val="multilevel"/>
    <w:tmpl w:val="7F48644A"/>
    <w:numStyleLink w:val="Bulletpoint"/>
  </w:abstractNum>
  <w:abstractNum w:abstractNumId="13" w15:restartNumberingAfterBreak="0">
    <w:nsid w:val="2B4826D2"/>
    <w:multiLevelType w:val="hybridMultilevel"/>
    <w:tmpl w:val="0E44A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BE410F"/>
    <w:multiLevelType w:val="hybridMultilevel"/>
    <w:tmpl w:val="40463E0C"/>
    <w:lvl w:ilvl="0" w:tplc="C5A6EF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565A4"/>
    <w:multiLevelType w:val="hybridMultilevel"/>
    <w:tmpl w:val="3202C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360B99"/>
    <w:multiLevelType w:val="hybridMultilevel"/>
    <w:tmpl w:val="466632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860A9"/>
    <w:multiLevelType w:val="hybridMultilevel"/>
    <w:tmpl w:val="8D1E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170804"/>
    <w:multiLevelType w:val="hybridMultilevel"/>
    <w:tmpl w:val="47EE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14FEE"/>
    <w:multiLevelType w:val="hybridMultilevel"/>
    <w:tmpl w:val="61B6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6F3220"/>
    <w:multiLevelType w:val="hybridMultilevel"/>
    <w:tmpl w:val="4732B5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9C4825"/>
    <w:multiLevelType w:val="hybridMultilevel"/>
    <w:tmpl w:val="5E9AB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C556BA"/>
    <w:multiLevelType w:val="hybridMultilevel"/>
    <w:tmpl w:val="29527E96"/>
    <w:lvl w:ilvl="0" w:tplc="C5A6EF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91270E"/>
    <w:multiLevelType w:val="multilevel"/>
    <w:tmpl w:val="7F48644A"/>
    <w:numStyleLink w:val="Bulletpoint"/>
  </w:abstractNum>
  <w:abstractNum w:abstractNumId="24" w15:restartNumberingAfterBreak="0">
    <w:nsid w:val="54114829"/>
    <w:multiLevelType w:val="multilevel"/>
    <w:tmpl w:val="7F48644A"/>
    <w:numStyleLink w:val="Bulletpoint"/>
  </w:abstractNum>
  <w:abstractNum w:abstractNumId="25" w15:restartNumberingAfterBreak="0">
    <w:nsid w:val="55363B14"/>
    <w:multiLevelType w:val="hybridMultilevel"/>
    <w:tmpl w:val="27A4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3C150F"/>
    <w:multiLevelType w:val="hybridMultilevel"/>
    <w:tmpl w:val="33767C3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A00CF0"/>
    <w:multiLevelType w:val="multilevel"/>
    <w:tmpl w:val="7F48644A"/>
    <w:styleLink w:val="Bulletpoint"/>
    <w:lvl w:ilvl="0">
      <w:start w:val="1"/>
      <w:numFmt w:val="bullet"/>
      <w:pStyle w:val="Bulletedlist"/>
      <w:lvlText w:val=""/>
      <w:lvlJc w:val="left"/>
      <w:pPr>
        <w:tabs>
          <w:tab w:val="num" w:pos="227"/>
        </w:tabs>
        <w:ind w:left="227" w:hanging="227"/>
      </w:pPr>
      <w:rPr>
        <w:rFonts w:ascii="Symbol" w:hAnsi="Symbol"/>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D5C3D"/>
    <w:multiLevelType w:val="hybridMultilevel"/>
    <w:tmpl w:val="CE762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A66D8A"/>
    <w:multiLevelType w:val="hybridMultilevel"/>
    <w:tmpl w:val="438806EE"/>
    <w:lvl w:ilvl="0" w:tplc="FF9459D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03276"/>
    <w:multiLevelType w:val="hybridMultilevel"/>
    <w:tmpl w:val="3B78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31FD6"/>
    <w:multiLevelType w:val="hybridMultilevel"/>
    <w:tmpl w:val="04B0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25841"/>
    <w:multiLevelType w:val="hybridMultilevel"/>
    <w:tmpl w:val="E0B2A8A6"/>
    <w:lvl w:ilvl="0" w:tplc="45AEAF54">
      <w:start w:val="1"/>
      <w:numFmt w:val="bullet"/>
      <w:lvlText w:val="■"/>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55FE7"/>
    <w:multiLevelType w:val="hybridMultilevel"/>
    <w:tmpl w:val="D3C027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3070BD"/>
    <w:multiLevelType w:val="hybridMultilevel"/>
    <w:tmpl w:val="A0349830"/>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41032"/>
    <w:multiLevelType w:val="hybridMultilevel"/>
    <w:tmpl w:val="B49C633C"/>
    <w:lvl w:ilvl="0" w:tplc="CC9ACFB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C2E56"/>
    <w:multiLevelType w:val="hybridMultilevel"/>
    <w:tmpl w:val="CAE89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24"/>
  </w:num>
  <w:num w:numId="4">
    <w:abstractNumId w:val="23"/>
  </w:num>
  <w:num w:numId="5">
    <w:abstractNumId w:val="12"/>
  </w:num>
  <w:num w:numId="6">
    <w:abstractNumId w:val="32"/>
  </w:num>
  <w:num w:numId="7">
    <w:abstractNumId w:val="11"/>
  </w:num>
  <w:num w:numId="8">
    <w:abstractNumId w:val="34"/>
  </w:num>
  <w:num w:numId="9">
    <w:abstractNumId w:val="33"/>
  </w:num>
  <w:num w:numId="10">
    <w:abstractNumId w:val="26"/>
  </w:num>
  <w:num w:numId="11">
    <w:abstractNumId w:val="7"/>
  </w:num>
  <w:num w:numId="12">
    <w:abstractNumId w:val="20"/>
  </w:num>
  <w:num w:numId="13">
    <w:abstractNumId w:val="6"/>
  </w:num>
  <w:num w:numId="14">
    <w:abstractNumId w:val="14"/>
  </w:num>
  <w:num w:numId="15">
    <w:abstractNumId w:val="22"/>
  </w:num>
  <w:num w:numId="16">
    <w:abstractNumId w:val="29"/>
  </w:num>
  <w:num w:numId="17">
    <w:abstractNumId w:val="31"/>
  </w:num>
  <w:num w:numId="18">
    <w:abstractNumId w:val="17"/>
  </w:num>
  <w:num w:numId="19">
    <w:abstractNumId w:val="36"/>
  </w:num>
  <w:num w:numId="20">
    <w:abstractNumId w:val="1"/>
  </w:num>
  <w:num w:numId="21">
    <w:abstractNumId w:val="19"/>
  </w:num>
  <w:num w:numId="22">
    <w:abstractNumId w:val="13"/>
  </w:num>
  <w:num w:numId="23">
    <w:abstractNumId w:val="30"/>
  </w:num>
  <w:num w:numId="24">
    <w:abstractNumId w:val="4"/>
  </w:num>
  <w:num w:numId="25">
    <w:abstractNumId w:val="21"/>
  </w:num>
  <w:num w:numId="26">
    <w:abstractNumId w:val="9"/>
  </w:num>
  <w:num w:numId="27">
    <w:abstractNumId w:val="2"/>
  </w:num>
  <w:num w:numId="28">
    <w:abstractNumId w:val="10"/>
  </w:num>
  <w:num w:numId="29">
    <w:abstractNumId w:val="16"/>
  </w:num>
  <w:num w:numId="30">
    <w:abstractNumId w:val="8"/>
  </w:num>
  <w:num w:numId="31">
    <w:abstractNumId w:val="28"/>
  </w:num>
  <w:num w:numId="32">
    <w:abstractNumId w:val="25"/>
  </w:num>
  <w:num w:numId="33">
    <w:abstractNumId w:val="5"/>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35"/>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2B"/>
    <w:rsid w:val="000020E7"/>
    <w:rsid w:val="00002385"/>
    <w:rsid w:val="00002823"/>
    <w:rsid w:val="00004CEB"/>
    <w:rsid w:val="0000537C"/>
    <w:rsid w:val="000073E7"/>
    <w:rsid w:val="000128F8"/>
    <w:rsid w:val="00013A9C"/>
    <w:rsid w:val="00014874"/>
    <w:rsid w:val="00014DFA"/>
    <w:rsid w:val="0001509B"/>
    <w:rsid w:val="0002002B"/>
    <w:rsid w:val="00021B67"/>
    <w:rsid w:val="0002385F"/>
    <w:rsid w:val="000238BE"/>
    <w:rsid w:val="00025B62"/>
    <w:rsid w:val="0002652D"/>
    <w:rsid w:val="000301A0"/>
    <w:rsid w:val="00030840"/>
    <w:rsid w:val="000329C1"/>
    <w:rsid w:val="000331DB"/>
    <w:rsid w:val="0003596C"/>
    <w:rsid w:val="0003643E"/>
    <w:rsid w:val="000400D2"/>
    <w:rsid w:val="000410B3"/>
    <w:rsid w:val="000411E5"/>
    <w:rsid w:val="0004169D"/>
    <w:rsid w:val="00042E77"/>
    <w:rsid w:val="0004492A"/>
    <w:rsid w:val="00045AF7"/>
    <w:rsid w:val="00047744"/>
    <w:rsid w:val="00050277"/>
    <w:rsid w:val="000545D9"/>
    <w:rsid w:val="00054D7D"/>
    <w:rsid w:val="00060FFF"/>
    <w:rsid w:val="000610BC"/>
    <w:rsid w:val="00062436"/>
    <w:rsid w:val="000628DE"/>
    <w:rsid w:val="00064BA4"/>
    <w:rsid w:val="00067E94"/>
    <w:rsid w:val="00071F45"/>
    <w:rsid w:val="00072363"/>
    <w:rsid w:val="0007285B"/>
    <w:rsid w:val="000745E5"/>
    <w:rsid w:val="0007502D"/>
    <w:rsid w:val="0007553F"/>
    <w:rsid w:val="0007698C"/>
    <w:rsid w:val="0007784F"/>
    <w:rsid w:val="000808D2"/>
    <w:rsid w:val="000825C2"/>
    <w:rsid w:val="0008467A"/>
    <w:rsid w:val="00086B8E"/>
    <w:rsid w:val="0009596E"/>
    <w:rsid w:val="00095D8D"/>
    <w:rsid w:val="00096208"/>
    <w:rsid w:val="00096EE0"/>
    <w:rsid w:val="000A0F1E"/>
    <w:rsid w:val="000A5290"/>
    <w:rsid w:val="000A5608"/>
    <w:rsid w:val="000A6642"/>
    <w:rsid w:val="000A7162"/>
    <w:rsid w:val="000B0B1B"/>
    <w:rsid w:val="000B2634"/>
    <w:rsid w:val="000B2A74"/>
    <w:rsid w:val="000B366D"/>
    <w:rsid w:val="000B3FA4"/>
    <w:rsid w:val="000B56D8"/>
    <w:rsid w:val="000B61E9"/>
    <w:rsid w:val="000B75EB"/>
    <w:rsid w:val="000C0268"/>
    <w:rsid w:val="000C662F"/>
    <w:rsid w:val="000C6B1E"/>
    <w:rsid w:val="000D2599"/>
    <w:rsid w:val="000D7FA3"/>
    <w:rsid w:val="000E078B"/>
    <w:rsid w:val="000E182F"/>
    <w:rsid w:val="000E1E21"/>
    <w:rsid w:val="000E7008"/>
    <w:rsid w:val="000F053E"/>
    <w:rsid w:val="000F249F"/>
    <w:rsid w:val="000F3370"/>
    <w:rsid w:val="000F6CE6"/>
    <w:rsid w:val="00101958"/>
    <w:rsid w:val="001021AA"/>
    <w:rsid w:val="00104FC4"/>
    <w:rsid w:val="001050B7"/>
    <w:rsid w:val="00110690"/>
    <w:rsid w:val="00113B05"/>
    <w:rsid w:val="00117158"/>
    <w:rsid w:val="001174B1"/>
    <w:rsid w:val="00122CAE"/>
    <w:rsid w:val="0012441C"/>
    <w:rsid w:val="00126E4C"/>
    <w:rsid w:val="0013027E"/>
    <w:rsid w:val="00130B25"/>
    <w:rsid w:val="00131EA4"/>
    <w:rsid w:val="00132F07"/>
    <w:rsid w:val="001344D3"/>
    <w:rsid w:val="001344DC"/>
    <w:rsid w:val="00135905"/>
    <w:rsid w:val="00137892"/>
    <w:rsid w:val="00137F70"/>
    <w:rsid w:val="00140885"/>
    <w:rsid w:val="00142DBC"/>
    <w:rsid w:val="001441BA"/>
    <w:rsid w:val="00145A4F"/>
    <w:rsid w:val="00146DD9"/>
    <w:rsid w:val="001501E7"/>
    <w:rsid w:val="00151375"/>
    <w:rsid w:val="001513E0"/>
    <w:rsid w:val="001517A4"/>
    <w:rsid w:val="00152CFA"/>
    <w:rsid w:val="00153FF3"/>
    <w:rsid w:val="001552AC"/>
    <w:rsid w:val="00156081"/>
    <w:rsid w:val="00162916"/>
    <w:rsid w:val="00163B75"/>
    <w:rsid w:val="00165BCC"/>
    <w:rsid w:val="0016630F"/>
    <w:rsid w:val="001663F4"/>
    <w:rsid w:val="001669DC"/>
    <w:rsid w:val="0017182A"/>
    <w:rsid w:val="00171F63"/>
    <w:rsid w:val="001742EA"/>
    <w:rsid w:val="001758FE"/>
    <w:rsid w:val="00175CFF"/>
    <w:rsid w:val="0017634D"/>
    <w:rsid w:val="00182CDB"/>
    <w:rsid w:val="00183104"/>
    <w:rsid w:val="001837BC"/>
    <w:rsid w:val="001838A4"/>
    <w:rsid w:val="00184737"/>
    <w:rsid w:val="001857DF"/>
    <w:rsid w:val="0019045D"/>
    <w:rsid w:val="001909CA"/>
    <w:rsid w:val="00193DB3"/>
    <w:rsid w:val="00197B58"/>
    <w:rsid w:val="001A0A02"/>
    <w:rsid w:val="001A23F0"/>
    <w:rsid w:val="001A2634"/>
    <w:rsid w:val="001B00B6"/>
    <w:rsid w:val="001B17A1"/>
    <w:rsid w:val="001B27D6"/>
    <w:rsid w:val="001B2A55"/>
    <w:rsid w:val="001B3A46"/>
    <w:rsid w:val="001B4649"/>
    <w:rsid w:val="001B4A6B"/>
    <w:rsid w:val="001B4D62"/>
    <w:rsid w:val="001B79B1"/>
    <w:rsid w:val="001C15E4"/>
    <w:rsid w:val="001C160A"/>
    <w:rsid w:val="001C37D4"/>
    <w:rsid w:val="001C6396"/>
    <w:rsid w:val="001C63E2"/>
    <w:rsid w:val="001C71A1"/>
    <w:rsid w:val="001D144E"/>
    <w:rsid w:val="001D3CC0"/>
    <w:rsid w:val="001D77A4"/>
    <w:rsid w:val="001E05E1"/>
    <w:rsid w:val="001E12EE"/>
    <w:rsid w:val="001E556C"/>
    <w:rsid w:val="001E64E7"/>
    <w:rsid w:val="001E783A"/>
    <w:rsid w:val="001F0110"/>
    <w:rsid w:val="001F0D62"/>
    <w:rsid w:val="001F2B5D"/>
    <w:rsid w:val="001F3B60"/>
    <w:rsid w:val="001F46C1"/>
    <w:rsid w:val="001F5888"/>
    <w:rsid w:val="001F5B89"/>
    <w:rsid w:val="001F5E9F"/>
    <w:rsid w:val="002010FF"/>
    <w:rsid w:val="00201EC7"/>
    <w:rsid w:val="00203AFA"/>
    <w:rsid w:val="00203F4C"/>
    <w:rsid w:val="002053FF"/>
    <w:rsid w:val="00206468"/>
    <w:rsid w:val="002136DD"/>
    <w:rsid w:val="0021405C"/>
    <w:rsid w:val="002140CA"/>
    <w:rsid w:val="00215557"/>
    <w:rsid w:val="00215746"/>
    <w:rsid w:val="00217B75"/>
    <w:rsid w:val="00217EEC"/>
    <w:rsid w:val="00220972"/>
    <w:rsid w:val="00223136"/>
    <w:rsid w:val="00223FBE"/>
    <w:rsid w:val="00226F44"/>
    <w:rsid w:val="002307C5"/>
    <w:rsid w:val="0023354E"/>
    <w:rsid w:val="00235151"/>
    <w:rsid w:val="00237B30"/>
    <w:rsid w:val="002407D0"/>
    <w:rsid w:val="00241400"/>
    <w:rsid w:val="002421DF"/>
    <w:rsid w:val="0024220D"/>
    <w:rsid w:val="002422C8"/>
    <w:rsid w:val="00245811"/>
    <w:rsid w:val="00246231"/>
    <w:rsid w:val="002552D9"/>
    <w:rsid w:val="0025643D"/>
    <w:rsid w:val="00260999"/>
    <w:rsid w:val="0026232D"/>
    <w:rsid w:val="00262CF8"/>
    <w:rsid w:val="0026359F"/>
    <w:rsid w:val="00263903"/>
    <w:rsid w:val="00266AEE"/>
    <w:rsid w:val="00266ECB"/>
    <w:rsid w:val="00270797"/>
    <w:rsid w:val="002718EB"/>
    <w:rsid w:val="00273BD2"/>
    <w:rsid w:val="002759E0"/>
    <w:rsid w:val="002805F3"/>
    <w:rsid w:val="00281F91"/>
    <w:rsid w:val="0028254B"/>
    <w:rsid w:val="00283423"/>
    <w:rsid w:val="0028595F"/>
    <w:rsid w:val="00285DA3"/>
    <w:rsid w:val="00285F8B"/>
    <w:rsid w:val="00294596"/>
    <w:rsid w:val="002A2478"/>
    <w:rsid w:val="002A3643"/>
    <w:rsid w:val="002A63B7"/>
    <w:rsid w:val="002A7ACB"/>
    <w:rsid w:val="002A7B57"/>
    <w:rsid w:val="002A7FC0"/>
    <w:rsid w:val="002B0833"/>
    <w:rsid w:val="002B2FBC"/>
    <w:rsid w:val="002B5215"/>
    <w:rsid w:val="002B745C"/>
    <w:rsid w:val="002B79EF"/>
    <w:rsid w:val="002B7CEB"/>
    <w:rsid w:val="002C1746"/>
    <w:rsid w:val="002C2918"/>
    <w:rsid w:val="002C2A57"/>
    <w:rsid w:val="002C46F7"/>
    <w:rsid w:val="002C48DC"/>
    <w:rsid w:val="002C546D"/>
    <w:rsid w:val="002C655B"/>
    <w:rsid w:val="002C75FA"/>
    <w:rsid w:val="002C7846"/>
    <w:rsid w:val="002D090D"/>
    <w:rsid w:val="002D12DE"/>
    <w:rsid w:val="002D2808"/>
    <w:rsid w:val="002D3AD9"/>
    <w:rsid w:val="002D3D98"/>
    <w:rsid w:val="002D473B"/>
    <w:rsid w:val="002D7FF1"/>
    <w:rsid w:val="002E01B2"/>
    <w:rsid w:val="002E1475"/>
    <w:rsid w:val="002E22AE"/>
    <w:rsid w:val="002E4809"/>
    <w:rsid w:val="002E5E5E"/>
    <w:rsid w:val="002E7126"/>
    <w:rsid w:val="002F0E1E"/>
    <w:rsid w:val="002F11C1"/>
    <w:rsid w:val="002F194D"/>
    <w:rsid w:val="002F1BE0"/>
    <w:rsid w:val="002F1BF6"/>
    <w:rsid w:val="002F4E30"/>
    <w:rsid w:val="002F5488"/>
    <w:rsid w:val="002F61A0"/>
    <w:rsid w:val="002F7EDC"/>
    <w:rsid w:val="00300844"/>
    <w:rsid w:val="003033E8"/>
    <w:rsid w:val="00305829"/>
    <w:rsid w:val="00307D53"/>
    <w:rsid w:val="0031124B"/>
    <w:rsid w:val="003117CD"/>
    <w:rsid w:val="00312639"/>
    <w:rsid w:val="00315796"/>
    <w:rsid w:val="00316E88"/>
    <w:rsid w:val="003173AB"/>
    <w:rsid w:val="00320D58"/>
    <w:rsid w:val="003211F4"/>
    <w:rsid w:val="003306A3"/>
    <w:rsid w:val="00330901"/>
    <w:rsid w:val="00333D00"/>
    <w:rsid w:val="00334EDE"/>
    <w:rsid w:val="0033547A"/>
    <w:rsid w:val="0034140D"/>
    <w:rsid w:val="003433C7"/>
    <w:rsid w:val="00343FC0"/>
    <w:rsid w:val="00344296"/>
    <w:rsid w:val="003451FB"/>
    <w:rsid w:val="003511BA"/>
    <w:rsid w:val="00351495"/>
    <w:rsid w:val="003514DE"/>
    <w:rsid w:val="003519E4"/>
    <w:rsid w:val="00351E80"/>
    <w:rsid w:val="00352296"/>
    <w:rsid w:val="0035247A"/>
    <w:rsid w:val="00352D3F"/>
    <w:rsid w:val="00355A05"/>
    <w:rsid w:val="003560A6"/>
    <w:rsid w:val="00360C09"/>
    <w:rsid w:val="00360EA0"/>
    <w:rsid w:val="003612DA"/>
    <w:rsid w:val="003632CF"/>
    <w:rsid w:val="00371240"/>
    <w:rsid w:val="00373822"/>
    <w:rsid w:val="00373A78"/>
    <w:rsid w:val="00374198"/>
    <w:rsid w:val="00377088"/>
    <w:rsid w:val="003823C8"/>
    <w:rsid w:val="00382DD2"/>
    <w:rsid w:val="00383F13"/>
    <w:rsid w:val="003847A8"/>
    <w:rsid w:val="003864CF"/>
    <w:rsid w:val="003869F8"/>
    <w:rsid w:val="003920C2"/>
    <w:rsid w:val="00393363"/>
    <w:rsid w:val="00393379"/>
    <w:rsid w:val="00394F0A"/>
    <w:rsid w:val="003A0D8E"/>
    <w:rsid w:val="003A0E36"/>
    <w:rsid w:val="003A2183"/>
    <w:rsid w:val="003A2DAE"/>
    <w:rsid w:val="003A4D19"/>
    <w:rsid w:val="003A5B11"/>
    <w:rsid w:val="003A60EC"/>
    <w:rsid w:val="003A66E0"/>
    <w:rsid w:val="003A74D7"/>
    <w:rsid w:val="003B109B"/>
    <w:rsid w:val="003B12A3"/>
    <w:rsid w:val="003B1954"/>
    <w:rsid w:val="003B2029"/>
    <w:rsid w:val="003B312B"/>
    <w:rsid w:val="003B4FA9"/>
    <w:rsid w:val="003B56C6"/>
    <w:rsid w:val="003B5958"/>
    <w:rsid w:val="003B76E6"/>
    <w:rsid w:val="003B7C6B"/>
    <w:rsid w:val="003C497F"/>
    <w:rsid w:val="003C7BA0"/>
    <w:rsid w:val="003D3F7D"/>
    <w:rsid w:val="003D6256"/>
    <w:rsid w:val="003D74B2"/>
    <w:rsid w:val="003E027E"/>
    <w:rsid w:val="003E040E"/>
    <w:rsid w:val="003E2B10"/>
    <w:rsid w:val="003E3494"/>
    <w:rsid w:val="003E368A"/>
    <w:rsid w:val="003E560A"/>
    <w:rsid w:val="003F0362"/>
    <w:rsid w:val="003F0F71"/>
    <w:rsid w:val="003F12EE"/>
    <w:rsid w:val="003F1D65"/>
    <w:rsid w:val="003F46C2"/>
    <w:rsid w:val="003F4AE1"/>
    <w:rsid w:val="003F5D47"/>
    <w:rsid w:val="003F7832"/>
    <w:rsid w:val="00403E95"/>
    <w:rsid w:val="00403ECB"/>
    <w:rsid w:val="00404713"/>
    <w:rsid w:val="0040672B"/>
    <w:rsid w:val="00413496"/>
    <w:rsid w:val="00414BFB"/>
    <w:rsid w:val="004157A1"/>
    <w:rsid w:val="0041637F"/>
    <w:rsid w:val="00416CF4"/>
    <w:rsid w:val="00417530"/>
    <w:rsid w:val="00420148"/>
    <w:rsid w:val="004209CB"/>
    <w:rsid w:val="00420BB8"/>
    <w:rsid w:val="00422F58"/>
    <w:rsid w:val="004250D1"/>
    <w:rsid w:val="00426C75"/>
    <w:rsid w:val="00426CCF"/>
    <w:rsid w:val="0042762C"/>
    <w:rsid w:val="0043154E"/>
    <w:rsid w:val="00431C7D"/>
    <w:rsid w:val="00433911"/>
    <w:rsid w:val="00433F77"/>
    <w:rsid w:val="00435FBE"/>
    <w:rsid w:val="004372D9"/>
    <w:rsid w:val="0043730B"/>
    <w:rsid w:val="00437E31"/>
    <w:rsid w:val="00443223"/>
    <w:rsid w:val="004450E5"/>
    <w:rsid w:val="0044771E"/>
    <w:rsid w:val="0044785A"/>
    <w:rsid w:val="00456D1B"/>
    <w:rsid w:val="004578D4"/>
    <w:rsid w:val="00462C0D"/>
    <w:rsid w:val="00463348"/>
    <w:rsid w:val="00463693"/>
    <w:rsid w:val="00464A22"/>
    <w:rsid w:val="00465278"/>
    <w:rsid w:val="00465B77"/>
    <w:rsid w:val="00465CA9"/>
    <w:rsid w:val="00471904"/>
    <w:rsid w:val="00471FED"/>
    <w:rsid w:val="00472613"/>
    <w:rsid w:val="00474D1F"/>
    <w:rsid w:val="00476F22"/>
    <w:rsid w:val="00477082"/>
    <w:rsid w:val="0047716D"/>
    <w:rsid w:val="004820E6"/>
    <w:rsid w:val="00482A4A"/>
    <w:rsid w:val="00483E4D"/>
    <w:rsid w:val="00484FED"/>
    <w:rsid w:val="00486ADF"/>
    <w:rsid w:val="00487C45"/>
    <w:rsid w:val="00490444"/>
    <w:rsid w:val="004909FF"/>
    <w:rsid w:val="00492B05"/>
    <w:rsid w:val="004955BF"/>
    <w:rsid w:val="00497695"/>
    <w:rsid w:val="00497A81"/>
    <w:rsid w:val="004A2BF5"/>
    <w:rsid w:val="004A39D0"/>
    <w:rsid w:val="004A58FB"/>
    <w:rsid w:val="004B4725"/>
    <w:rsid w:val="004B47D6"/>
    <w:rsid w:val="004B6D79"/>
    <w:rsid w:val="004B73E4"/>
    <w:rsid w:val="004C4253"/>
    <w:rsid w:val="004C46B8"/>
    <w:rsid w:val="004C4868"/>
    <w:rsid w:val="004C5694"/>
    <w:rsid w:val="004C7CEB"/>
    <w:rsid w:val="004D006D"/>
    <w:rsid w:val="004D1FA4"/>
    <w:rsid w:val="004D33CB"/>
    <w:rsid w:val="004D3681"/>
    <w:rsid w:val="004D5B8A"/>
    <w:rsid w:val="004D5D40"/>
    <w:rsid w:val="004D7EA7"/>
    <w:rsid w:val="004E2D29"/>
    <w:rsid w:val="004E2E34"/>
    <w:rsid w:val="004E4966"/>
    <w:rsid w:val="004E5257"/>
    <w:rsid w:val="004E63F8"/>
    <w:rsid w:val="004F1F2F"/>
    <w:rsid w:val="004F5225"/>
    <w:rsid w:val="004F68F4"/>
    <w:rsid w:val="00500814"/>
    <w:rsid w:val="00501A40"/>
    <w:rsid w:val="0050731C"/>
    <w:rsid w:val="00510B5F"/>
    <w:rsid w:val="00512431"/>
    <w:rsid w:val="00512636"/>
    <w:rsid w:val="005138C1"/>
    <w:rsid w:val="00513B31"/>
    <w:rsid w:val="00514203"/>
    <w:rsid w:val="00515388"/>
    <w:rsid w:val="005160E4"/>
    <w:rsid w:val="005176D3"/>
    <w:rsid w:val="00517D85"/>
    <w:rsid w:val="00532867"/>
    <w:rsid w:val="005343E3"/>
    <w:rsid w:val="005362AF"/>
    <w:rsid w:val="00537C3A"/>
    <w:rsid w:val="00540306"/>
    <w:rsid w:val="00540BEA"/>
    <w:rsid w:val="00542D54"/>
    <w:rsid w:val="00543353"/>
    <w:rsid w:val="00545602"/>
    <w:rsid w:val="00545DBD"/>
    <w:rsid w:val="00546567"/>
    <w:rsid w:val="005501FF"/>
    <w:rsid w:val="00552DEE"/>
    <w:rsid w:val="00552FD7"/>
    <w:rsid w:val="00553E74"/>
    <w:rsid w:val="00557D72"/>
    <w:rsid w:val="0056136E"/>
    <w:rsid w:val="005624F5"/>
    <w:rsid w:val="00564A6D"/>
    <w:rsid w:val="00566044"/>
    <w:rsid w:val="005674AF"/>
    <w:rsid w:val="005679EF"/>
    <w:rsid w:val="00567A30"/>
    <w:rsid w:val="00572CB5"/>
    <w:rsid w:val="005736B4"/>
    <w:rsid w:val="00575D7E"/>
    <w:rsid w:val="0057662F"/>
    <w:rsid w:val="00577525"/>
    <w:rsid w:val="005800C3"/>
    <w:rsid w:val="0058035E"/>
    <w:rsid w:val="00581AED"/>
    <w:rsid w:val="00581C6C"/>
    <w:rsid w:val="00582CDD"/>
    <w:rsid w:val="00583DCB"/>
    <w:rsid w:val="00584469"/>
    <w:rsid w:val="0058515E"/>
    <w:rsid w:val="005852F8"/>
    <w:rsid w:val="005859FB"/>
    <w:rsid w:val="00585E90"/>
    <w:rsid w:val="00587B7D"/>
    <w:rsid w:val="00587FC3"/>
    <w:rsid w:val="005927CC"/>
    <w:rsid w:val="00594817"/>
    <w:rsid w:val="005A14CC"/>
    <w:rsid w:val="005A16D6"/>
    <w:rsid w:val="005A2F57"/>
    <w:rsid w:val="005A4A60"/>
    <w:rsid w:val="005A576C"/>
    <w:rsid w:val="005A5F47"/>
    <w:rsid w:val="005A74E6"/>
    <w:rsid w:val="005B05EB"/>
    <w:rsid w:val="005B0673"/>
    <w:rsid w:val="005B3E6F"/>
    <w:rsid w:val="005B72A1"/>
    <w:rsid w:val="005C03C7"/>
    <w:rsid w:val="005C0C76"/>
    <w:rsid w:val="005C0FA8"/>
    <w:rsid w:val="005C1A32"/>
    <w:rsid w:val="005C3829"/>
    <w:rsid w:val="005C3E3A"/>
    <w:rsid w:val="005D1355"/>
    <w:rsid w:val="005D2418"/>
    <w:rsid w:val="005D3C1E"/>
    <w:rsid w:val="005D5243"/>
    <w:rsid w:val="005D5C9A"/>
    <w:rsid w:val="005E01D2"/>
    <w:rsid w:val="005E0EC4"/>
    <w:rsid w:val="005E1110"/>
    <w:rsid w:val="005E304F"/>
    <w:rsid w:val="005E4202"/>
    <w:rsid w:val="005E5D5C"/>
    <w:rsid w:val="005F03CE"/>
    <w:rsid w:val="005F265C"/>
    <w:rsid w:val="005F47CF"/>
    <w:rsid w:val="005F5247"/>
    <w:rsid w:val="005F68CF"/>
    <w:rsid w:val="005F7C64"/>
    <w:rsid w:val="00602501"/>
    <w:rsid w:val="00602E79"/>
    <w:rsid w:val="006047A5"/>
    <w:rsid w:val="00606514"/>
    <w:rsid w:val="00606598"/>
    <w:rsid w:val="00606934"/>
    <w:rsid w:val="00616FBF"/>
    <w:rsid w:val="0061763B"/>
    <w:rsid w:val="00617986"/>
    <w:rsid w:val="0062186B"/>
    <w:rsid w:val="0062259C"/>
    <w:rsid w:val="00622D42"/>
    <w:rsid w:val="006238F2"/>
    <w:rsid w:val="00624F0D"/>
    <w:rsid w:val="00625C93"/>
    <w:rsid w:val="00626515"/>
    <w:rsid w:val="006268D0"/>
    <w:rsid w:val="0063059C"/>
    <w:rsid w:val="00635154"/>
    <w:rsid w:val="00637822"/>
    <w:rsid w:val="006407A6"/>
    <w:rsid w:val="006409AE"/>
    <w:rsid w:val="00641B08"/>
    <w:rsid w:val="006431B5"/>
    <w:rsid w:val="006454C0"/>
    <w:rsid w:val="006560D6"/>
    <w:rsid w:val="00656D1A"/>
    <w:rsid w:val="00657E24"/>
    <w:rsid w:val="006604A0"/>
    <w:rsid w:val="00662ABD"/>
    <w:rsid w:val="006632AB"/>
    <w:rsid w:val="00664245"/>
    <w:rsid w:val="0066560E"/>
    <w:rsid w:val="00667F27"/>
    <w:rsid w:val="00672690"/>
    <w:rsid w:val="00673F44"/>
    <w:rsid w:val="0067451E"/>
    <w:rsid w:val="00675CB8"/>
    <w:rsid w:val="00676748"/>
    <w:rsid w:val="00677BA0"/>
    <w:rsid w:val="00681CB1"/>
    <w:rsid w:val="006829FD"/>
    <w:rsid w:val="0068374C"/>
    <w:rsid w:val="00684100"/>
    <w:rsid w:val="00693130"/>
    <w:rsid w:val="00693256"/>
    <w:rsid w:val="0069529F"/>
    <w:rsid w:val="006971DF"/>
    <w:rsid w:val="006A0046"/>
    <w:rsid w:val="006A3F87"/>
    <w:rsid w:val="006A4471"/>
    <w:rsid w:val="006A5D5F"/>
    <w:rsid w:val="006A6525"/>
    <w:rsid w:val="006A6A22"/>
    <w:rsid w:val="006A6DB1"/>
    <w:rsid w:val="006A7F93"/>
    <w:rsid w:val="006B04CD"/>
    <w:rsid w:val="006B2DFE"/>
    <w:rsid w:val="006B33CD"/>
    <w:rsid w:val="006B4028"/>
    <w:rsid w:val="006B480C"/>
    <w:rsid w:val="006B493D"/>
    <w:rsid w:val="006B5340"/>
    <w:rsid w:val="006B5948"/>
    <w:rsid w:val="006B5B3F"/>
    <w:rsid w:val="006C0C3B"/>
    <w:rsid w:val="006C1139"/>
    <w:rsid w:val="006C14F2"/>
    <w:rsid w:val="006C358F"/>
    <w:rsid w:val="006C4501"/>
    <w:rsid w:val="006C47B1"/>
    <w:rsid w:val="006D1E36"/>
    <w:rsid w:val="006D2E28"/>
    <w:rsid w:val="006D4113"/>
    <w:rsid w:val="006D6D40"/>
    <w:rsid w:val="006E3BEB"/>
    <w:rsid w:val="006E79A0"/>
    <w:rsid w:val="006F0E4E"/>
    <w:rsid w:val="006F1471"/>
    <w:rsid w:val="006F1DD2"/>
    <w:rsid w:val="006F3E7B"/>
    <w:rsid w:val="006F4102"/>
    <w:rsid w:val="006F678D"/>
    <w:rsid w:val="006F6A92"/>
    <w:rsid w:val="006F76AA"/>
    <w:rsid w:val="006F7E8A"/>
    <w:rsid w:val="00700862"/>
    <w:rsid w:val="00700FFE"/>
    <w:rsid w:val="007016A3"/>
    <w:rsid w:val="0070389C"/>
    <w:rsid w:val="007039F2"/>
    <w:rsid w:val="00703E2D"/>
    <w:rsid w:val="00704528"/>
    <w:rsid w:val="00704535"/>
    <w:rsid w:val="00705798"/>
    <w:rsid w:val="00706202"/>
    <w:rsid w:val="00706E5A"/>
    <w:rsid w:val="00707B6E"/>
    <w:rsid w:val="00711F21"/>
    <w:rsid w:val="007143CA"/>
    <w:rsid w:val="00716853"/>
    <w:rsid w:val="00717998"/>
    <w:rsid w:val="00717A8A"/>
    <w:rsid w:val="0072085C"/>
    <w:rsid w:val="00722530"/>
    <w:rsid w:val="007225CF"/>
    <w:rsid w:val="007227B5"/>
    <w:rsid w:val="007227F3"/>
    <w:rsid w:val="00722BDC"/>
    <w:rsid w:val="00723550"/>
    <w:rsid w:val="00724361"/>
    <w:rsid w:val="0072526F"/>
    <w:rsid w:val="00725308"/>
    <w:rsid w:val="00725BFF"/>
    <w:rsid w:val="00726BCE"/>
    <w:rsid w:val="00730305"/>
    <w:rsid w:val="00730C7D"/>
    <w:rsid w:val="00735662"/>
    <w:rsid w:val="00735D7C"/>
    <w:rsid w:val="00736BFA"/>
    <w:rsid w:val="0073706D"/>
    <w:rsid w:val="007370A0"/>
    <w:rsid w:val="007373FB"/>
    <w:rsid w:val="00737805"/>
    <w:rsid w:val="007406F8"/>
    <w:rsid w:val="00740E3B"/>
    <w:rsid w:val="007418B7"/>
    <w:rsid w:val="0074355E"/>
    <w:rsid w:val="0075181C"/>
    <w:rsid w:val="007528EF"/>
    <w:rsid w:val="0075359D"/>
    <w:rsid w:val="007539EE"/>
    <w:rsid w:val="00756146"/>
    <w:rsid w:val="00756553"/>
    <w:rsid w:val="00760AA8"/>
    <w:rsid w:val="00761AA7"/>
    <w:rsid w:val="00761B41"/>
    <w:rsid w:val="007651F6"/>
    <w:rsid w:val="007653AC"/>
    <w:rsid w:val="007712A3"/>
    <w:rsid w:val="007719DB"/>
    <w:rsid w:val="00773342"/>
    <w:rsid w:val="007775C2"/>
    <w:rsid w:val="0078400F"/>
    <w:rsid w:val="007870F3"/>
    <w:rsid w:val="007904E8"/>
    <w:rsid w:val="007921AB"/>
    <w:rsid w:val="00794002"/>
    <w:rsid w:val="00794B8E"/>
    <w:rsid w:val="007A0631"/>
    <w:rsid w:val="007A2415"/>
    <w:rsid w:val="007A4724"/>
    <w:rsid w:val="007A4ACF"/>
    <w:rsid w:val="007A563C"/>
    <w:rsid w:val="007A5679"/>
    <w:rsid w:val="007A7B79"/>
    <w:rsid w:val="007B05A5"/>
    <w:rsid w:val="007B10A1"/>
    <w:rsid w:val="007B796A"/>
    <w:rsid w:val="007C076F"/>
    <w:rsid w:val="007C1E3F"/>
    <w:rsid w:val="007C2068"/>
    <w:rsid w:val="007C314E"/>
    <w:rsid w:val="007C5444"/>
    <w:rsid w:val="007D029F"/>
    <w:rsid w:val="007D0D89"/>
    <w:rsid w:val="007D4A71"/>
    <w:rsid w:val="007D5C84"/>
    <w:rsid w:val="007D612F"/>
    <w:rsid w:val="007D7250"/>
    <w:rsid w:val="007D7989"/>
    <w:rsid w:val="007D7ABF"/>
    <w:rsid w:val="007E0541"/>
    <w:rsid w:val="007E2167"/>
    <w:rsid w:val="007E283B"/>
    <w:rsid w:val="007E585C"/>
    <w:rsid w:val="007E6506"/>
    <w:rsid w:val="007E6630"/>
    <w:rsid w:val="007E68F2"/>
    <w:rsid w:val="007E74CE"/>
    <w:rsid w:val="007F0DFF"/>
    <w:rsid w:val="007F21E1"/>
    <w:rsid w:val="007F249A"/>
    <w:rsid w:val="007F49B2"/>
    <w:rsid w:val="007F4BB5"/>
    <w:rsid w:val="007F4CD1"/>
    <w:rsid w:val="007F5F30"/>
    <w:rsid w:val="007F6563"/>
    <w:rsid w:val="008001A5"/>
    <w:rsid w:val="00802DD7"/>
    <w:rsid w:val="0080450F"/>
    <w:rsid w:val="0080573A"/>
    <w:rsid w:val="00807728"/>
    <w:rsid w:val="00810C20"/>
    <w:rsid w:val="008117C6"/>
    <w:rsid w:val="00812A32"/>
    <w:rsid w:val="0082299C"/>
    <w:rsid w:val="00822A85"/>
    <w:rsid w:val="00823715"/>
    <w:rsid w:val="00823721"/>
    <w:rsid w:val="00830009"/>
    <w:rsid w:val="00830C15"/>
    <w:rsid w:val="00830E00"/>
    <w:rsid w:val="00832FAA"/>
    <w:rsid w:val="00833746"/>
    <w:rsid w:val="00834910"/>
    <w:rsid w:val="008355C2"/>
    <w:rsid w:val="008359C8"/>
    <w:rsid w:val="008374D6"/>
    <w:rsid w:val="0084320C"/>
    <w:rsid w:val="00843501"/>
    <w:rsid w:val="0085229E"/>
    <w:rsid w:val="00852784"/>
    <w:rsid w:val="0085449F"/>
    <w:rsid w:val="00855C78"/>
    <w:rsid w:val="0086371E"/>
    <w:rsid w:val="008640CC"/>
    <w:rsid w:val="008645E3"/>
    <w:rsid w:val="00864828"/>
    <w:rsid w:val="008672AA"/>
    <w:rsid w:val="00870743"/>
    <w:rsid w:val="008709B8"/>
    <w:rsid w:val="00872919"/>
    <w:rsid w:val="0087502F"/>
    <w:rsid w:val="00877A34"/>
    <w:rsid w:val="00877A71"/>
    <w:rsid w:val="008801A3"/>
    <w:rsid w:val="0088091F"/>
    <w:rsid w:val="008831F2"/>
    <w:rsid w:val="008841B2"/>
    <w:rsid w:val="00884540"/>
    <w:rsid w:val="008873F6"/>
    <w:rsid w:val="00891693"/>
    <w:rsid w:val="008933D0"/>
    <w:rsid w:val="008940F6"/>
    <w:rsid w:val="008A4052"/>
    <w:rsid w:val="008A53DD"/>
    <w:rsid w:val="008A6A0D"/>
    <w:rsid w:val="008A7B08"/>
    <w:rsid w:val="008B1641"/>
    <w:rsid w:val="008B3B1D"/>
    <w:rsid w:val="008B4601"/>
    <w:rsid w:val="008B54BD"/>
    <w:rsid w:val="008B6191"/>
    <w:rsid w:val="008B6B17"/>
    <w:rsid w:val="008C042E"/>
    <w:rsid w:val="008C140F"/>
    <w:rsid w:val="008C2FB2"/>
    <w:rsid w:val="008D12BF"/>
    <w:rsid w:val="008D250F"/>
    <w:rsid w:val="008D367F"/>
    <w:rsid w:val="008D43FA"/>
    <w:rsid w:val="008D4793"/>
    <w:rsid w:val="008D4B24"/>
    <w:rsid w:val="008D4CBD"/>
    <w:rsid w:val="008D5627"/>
    <w:rsid w:val="008E03EC"/>
    <w:rsid w:val="008E2FCC"/>
    <w:rsid w:val="008E3093"/>
    <w:rsid w:val="008E47D4"/>
    <w:rsid w:val="008E4DEB"/>
    <w:rsid w:val="008E4FF1"/>
    <w:rsid w:val="008E6C1E"/>
    <w:rsid w:val="008E79CE"/>
    <w:rsid w:val="008E7B78"/>
    <w:rsid w:val="008F2FB1"/>
    <w:rsid w:val="008F4606"/>
    <w:rsid w:val="008F6765"/>
    <w:rsid w:val="008F73F7"/>
    <w:rsid w:val="008F757B"/>
    <w:rsid w:val="00900828"/>
    <w:rsid w:val="00900D31"/>
    <w:rsid w:val="00903812"/>
    <w:rsid w:val="00904A57"/>
    <w:rsid w:val="00906663"/>
    <w:rsid w:val="00907D29"/>
    <w:rsid w:val="0091352A"/>
    <w:rsid w:val="00914AA2"/>
    <w:rsid w:val="00915392"/>
    <w:rsid w:val="00916026"/>
    <w:rsid w:val="00916AE4"/>
    <w:rsid w:val="00917E2A"/>
    <w:rsid w:val="00925E78"/>
    <w:rsid w:val="00927EA4"/>
    <w:rsid w:val="00931A41"/>
    <w:rsid w:val="009320E3"/>
    <w:rsid w:val="00933915"/>
    <w:rsid w:val="00944CB0"/>
    <w:rsid w:val="00947415"/>
    <w:rsid w:val="0094746D"/>
    <w:rsid w:val="00947CBD"/>
    <w:rsid w:val="0095060E"/>
    <w:rsid w:val="009518D2"/>
    <w:rsid w:val="00953E8A"/>
    <w:rsid w:val="00960E88"/>
    <w:rsid w:val="009674B8"/>
    <w:rsid w:val="0096776F"/>
    <w:rsid w:val="00970410"/>
    <w:rsid w:val="00970D43"/>
    <w:rsid w:val="00971CE0"/>
    <w:rsid w:val="009805BD"/>
    <w:rsid w:val="0098118D"/>
    <w:rsid w:val="00981713"/>
    <w:rsid w:val="00981E50"/>
    <w:rsid w:val="009827BA"/>
    <w:rsid w:val="0098461E"/>
    <w:rsid w:val="00985076"/>
    <w:rsid w:val="0098586D"/>
    <w:rsid w:val="00985925"/>
    <w:rsid w:val="00987C51"/>
    <w:rsid w:val="00993332"/>
    <w:rsid w:val="0099637D"/>
    <w:rsid w:val="00997723"/>
    <w:rsid w:val="009A3228"/>
    <w:rsid w:val="009A3712"/>
    <w:rsid w:val="009A3DA7"/>
    <w:rsid w:val="009A500A"/>
    <w:rsid w:val="009A577D"/>
    <w:rsid w:val="009A650B"/>
    <w:rsid w:val="009A7C06"/>
    <w:rsid w:val="009B03A5"/>
    <w:rsid w:val="009B15C0"/>
    <w:rsid w:val="009B2655"/>
    <w:rsid w:val="009B275D"/>
    <w:rsid w:val="009B3925"/>
    <w:rsid w:val="009B6768"/>
    <w:rsid w:val="009B799E"/>
    <w:rsid w:val="009C09F9"/>
    <w:rsid w:val="009C39F9"/>
    <w:rsid w:val="009C3ED0"/>
    <w:rsid w:val="009C4138"/>
    <w:rsid w:val="009C415B"/>
    <w:rsid w:val="009D0BF3"/>
    <w:rsid w:val="009D0DE8"/>
    <w:rsid w:val="009D1EF2"/>
    <w:rsid w:val="009D2F67"/>
    <w:rsid w:val="009D379E"/>
    <w:rsid w:val="009D3B98"/>
    <w:rsid w:val="009D4F3C"/>
    <w:rsid w:val="009D4F40"/>
    <w:rsid w:val="009E3C87"/>
    <w:rsid w:val="009E46E2"/>
    <w:rsid w:val="009E4B0D"/>
    <w:rsid w:val="009E4DB0"/>
    <w:rsid w:val="009E7D17"/>
    <w:rsid w:val="009F05C3"/>
    <w:rsid w:val="009F0CFA"/>
    <w:rsid w:val="009F3242"/>
    <w:rsid w:val="009F3EA5"/>
    <w:rsid w:val="009F5A7B"/>
    <w:rsid w:val="00A02651"/>
    <w:rsid w:val="00A03B45"/>
    <w:rsid w:val="00A06DC4"/>
    <w:rsid w:val="00A06F4C"/>
    <w:rsid w:val="00A1290A"/>
    <w:rsid w:val="00A12F22"/>
    <w:rsid w:val="00A140C4"/>
    <w:rsid w:val="00A160B4"/>
    <w:rsid w:val="00A160EE"/>
    <w:rsid w:val="00A21DD3"/>
    <w:rsid w:val="00A241FD"/>
    <w:rsid w:val="00A25CE3"/>
    <w:rsid w:val="00A3044B"/>
    <w:rsid w:val="00A3144F"/>
    <w:rsid w:val="00A3196A"/>
    <w:rsid w:val="00A33849"/>
    <w:rsid w:val="00A33B90"/>
    <w:rsid w:val="00A33EF5"/>
    <w:rsid w:val="00A34C35"/>
    <w:rsid w:val="00A359ED"/>
    <w:rsid w:val="00A3617B"/>
    <w:rsid w:val="00A36BE4"/>
    <w:rsid w:val="00A40A3F"/>
    <w:rsid w:val="00A413C4"/>
    <w:rsid w:val="00A4153B"/>
    <w:rsid w:val="00A418F7"/>
    <w:rsid w:val="00A41ED2"/>
    <w:rsid w:val="00A422FC"/>
    <w:rsid w:val="00A428D7"/>
    <w:rsid w:val="00A440B8"/>
    <w:rsid w:val="00A44CF3"/>
    <w:rsid w:val="00A45C57"/>
    <w:rsid w:val="00A47932"/>
    <w:rsid w:val="00A50459"/>
    <w:rsid w:val="00A536B3"/>
    <w:rsid w:val="00A54292"/>
    <w:rsid w:val="00A54816"/>
    <w:rsid w:val="00A54F47"/>
    <w:rsid w:val="00A5506D"/>
    <w:rsid w:val="00A554CE"/>
    <w:rsid w:val="00A5593B"/>
    <w:rsid w:val="00A60F03"/>
    <w:rsid w:val="00A628C2"/>
    <w:rsid w:val="00A630CB"/>
    <w:rsid w:val="00A631D7"/>
    <w:rsid w:val="00A66DA1"/>
    <w:rsid w:val="00A66F07"/>
    <w:rsid w:val="00A67BBF"/>
    <w:rsid w:val="00A701DD"/>
    <w:rsid w:val="00A72113"/>
    <w:rsid w:val="00A73754"/>
    <w:rsid w:val="00A73802"/>
    <w:rsid w:val="00A807C9"/>
    <w:rsid w:val="00A80F69"/>
    <w:rsid w:val="00A819EB"/>
    <w:rsid w:val="00A8318D"/>
    <w:rsid w:val="00A8375D"/>
    <w:rsid w:val="00A8445B"/>
    <w:rsid w:val="00A8484E"/>
    <w:rsid w:val="00A850C2"/>
    <w:rsid w:val="00A8639D"/>
    <w:rsid w:val="00A86628"/>
    <w:rsid w:val="00A86FED"/>
    <w:rsid w:val="00A87502"/>
    <w:rsid w:val="00A87D27"/>
    <w:rsid w:val="00A91C45"/>
    <w:rsid w:val="00A9434D"/>
    <w:rsid w:val="00A951C1"/>
    <w:rsid w:val="00A96FAD"/>
    <w:rsid w:val="00A972A4"/>
    <w:rsid w:val="00A97E8E"/>
    <w:rsid w:val="00AA0677"/>
    <w:rsid w:val="00AA1F7F"/>
    <w:rsid w:val="00AA3945"/>
    <w:rsid w:val="00AA45A3"/>
    <w:rsid w:val="00AA5F7D"/>
    <w:rsid w:val="00AA692C"/>
    <w:rsid w:val="00AB25AB"/>
    <w:rsid w:val="00AB2F33"/>
    <w:rsid w:val="00AB4BED"/>
    <w:rsid w:val="00AB6AC5"/>
    <w:rsid w:val="00AC1381"/>
    <w:rsid w:val="00AC2363"/>
    <w:rsid w:val="00AC61EC"/>
    <w:rsid w:val="00AC72F0"/>
    <w:rsid w:val="00AC7892"/>
    <w:rsid w:val="00AC791A"/>
    <w:rsid w:val="00AD198A"/>
    <w:rsid w:val="00AD392C"/>
    <w:rsid w:val="00AD4477"/>
    <w:rsid w:val="00AD4853"/>
    <w:rsid w:val="00AD693F"/>
    <w:rsid w:val="00AD7126"/>
    <w:rsid w:val="00AD756B"/>
    <w:rsid w:val="00AE05C4"/>
    <w:rsid w:val="00AE1823"/>
    <w:rsid w:val="00AE59F0"/>
    <w:rsid w:val="00AE6C6D"/>
    <w:rsid w:val="00AF0285"/>
    <w:rsid w:val="00AF1D4F"/>
    <w:rsid w:val="00AF55C4"/>
    <w:rsid w:val="00AF596E"/>
    <w:rsid w:val="00B000DB"/>
    <w:rsid w:val="00B0484D"/>
    <w:rsid w:val="00B06988"/>
    <w:rsid w:val="00B1087F"/>
    <w:rsid w:val="00B10A75"/>
    <w:rsid w:val="00B11633"/>
    <w:rsid w:val="00B136C8"/>
    <w:rsid w:val="00B15E5A"/>
    <w:rsid w:val="00B16C80"/>
    <w:rsid w:val="00B20EB9"/>
    <w:rsid w:val="00B21A38"/>
    <w:rsid w:val="00B21BF9"/>
    <w:rsid w:val="00B2208A"/>
    <w:rsid w:val="00B25D04"/>
    <w:rsid w:val="00B359F1"/>
    <w:rsid w:val="00B41260"/>
    <w:rsid w:val="00B41A1F"/>
    <w:rsid w:val="00B4316D"/>
    <w:rsid w:val="00B436F2"/>
    <w:rsid w:val="00B442B4"/>
    <w:rsid w:val="00B450A8"/>
    <w:rsid w:val="00B50C80"/>
    <w:rsid w:val="00B5290C"/>
    <w:rsid w:val="00B530A0"/>
    <w:rsid w:val="00B564DF"/>
    <w:rsid w:val="00B579B2"/>
    <w:rsid w:val="00B60173"/>
    <w:rsid w:val="00B65329"/>
    <w:rsid w:val="00B6725F"/>
    <w:rsid w:val="00B70335"/>
    <w:rsid w:val="00B72875"/>
    <w:rsid w:val="00B745E9"/>
    <w:rsid w:val="00B77ED0"/>
    <w:rsid w:val="00B80771"/>
    <w:rsid w:val="00B81F48"/>
    <w:rsid w:val="00B82DE9"/>
    <w:rsid w:val="00B830DD"/>
    <w:rsid w:val="00B8325F"/>
    <w:rsid w:val="00B9065D"/>
    <w:rsid w:val="00B9232D"/>
    <w:rsid w:val="00B923F1"/>
    <w:rsid w:val="00B9246A"/>
    <w:rsid w:val="00B93AD1"/>
    <w:rsid w:val="00B93FBE"/>
    <w:rsid w:val="00B942C7"/>
    <w:rsid w:val="00B94763"/>
    <w:rsid w:val="00BA31AA"/>
    <w:rsid w:val="00BA4054"/>
    <w:rsid w:val="00BA4230"/>
    <w:rsid w:val="00BA4468"/>
    <w:rsid w:val="00BA5201"/>
    <w:rsid w:val="00BB11ED"/>
    <w:rsid w:val="00BB1545"/>
    <w:rsid w:val="00BB1802"/>
    <w:rsid w:val="00BB304A"/>
    <w:rsid w:val="00BB3FC9"/>
    <w:rsid w:val="00BB657B"/>
    <w:rsid w:val="00BB6D98"/>
    <w:rsid w:val="00BB7E7F"/>
    <w:rsid w:val="00BC12FE"/>
    <w:rsid w:val="00BC1827"/>
    <w:rsid w:val="00BC237F"/>
    <w:rsid w:val="00BC2DA6"/>
    <w:rsid w:val="00BC3994"/>
    <w:rsid w:val="00BC5479"/>
    <w:rsid w:val="00BC589A"/>
    <w:rsid w:val="00BD0151"/>
    <w:rsid w:val="00BD0868"/>
    <w:rsid w:val="00BD5F2C"/>
    <w:rsid w:val="00BD710E"/>
    <w:rsid w:val="00BD75AF"/>
    <w:rsid w:val="00BE0B25"/>
    <w:rsid w:val="00BE3E96"/>
    <w:rsid w:val="00BE6932"/>
    <w:rsid w:val="00BF44F6"/>
    <w:rsid w:val="00BF5CB9"/>
    <w:rsid w:val="00BF73F0"/>
    <w:rsid w:val="00BF7961"/>
    <w:rsid w:val="00C03748"/>
    <w:rsid w:val="00C0383A"/>
    <w:rsid w:val="00C04104"/>
    <w:rsid w:val="00C10460"/>
    <w:rsid w:val="00C10AAB"/>
    <w:rsid w:val="00C10F89"/>
    <w:rsid w:val="00C11A9A"/>
    <w:rsid w:val="00C11D3B"/>
    <w:rsid w:val="00C12611"/>
    <w:rsid w:val="00C1543B"/>
    <w:rsid w:val="00C16700"/>
    <w:rsid w:val="00C172DD"/>
    <w:rsid w:val="00C20CC5"/>
    <w:rsid w:val="00C21152"/>
    <w:rsid w:val="00C212C5"/>
    <w:rsid w:val="00C2134C"/>
    <w:rsid w:val="00C23E09"/>
    <w:rsid w:val="00C247A7"/>
    <w:rsid w:val="00C3249E"/>
    <w:rsid w:val="00C33295"/>
    <w:rsid w:val="00C33DD7"/>
    <w:rsid w:val="00C36D69"/>
    <w:rsid w:val="00C406FB"/>
    <w:rsid w:val="00C4100B"/>
    <w:rsid w:val="00C410A5"/>
    <w:rsid w:val="00C41890"/>
    <w:rsid w:val="00C42B36"/>
    <w:rsid w:val="00C4387D"/>
    <w:rsid w:val="00C45A83"/>
    <w:rsid w:val="00C45EA3"/>
    <w:rsid w:val="00C5065A"/>
    <w:rsid w:val="00C509C4"/>
    <w:rsid w:val="00C5242B"/>
    <w:rsid w:val="00C5603E"/>
    <w:rsid w:val="00C56180"/>
    <w:rsid w:val="00C57D17"/>
    <w:rsid w:val="00C61DAC"/>
    <w:rsid w:val="00C628C9"/>
    <w:rsid w:val="00C6472A"/>
    <w:rsid w:val="00C64EEA"/>
    <w:rsid w:val="00C65555"/>
    <w:rsid w:val="00C674C7"/>
    <w:rsid w:val="00C733C6"/>
    <w:rsid w:val="00C73AAF"/>
    <w:rsid w:val="00C76E7C"/>
    <w:rsid w:val="00C81613"/>
    <w:rsid w:val="00C83DF1"/>
    <w:rsid w:val="00C83EA4"/>
    <w:rsid w:val="00C84B7F"/>
    <w:rsid w:val="00C8520A"/>
    <w:rsid w:val="00C9098F"/>
    <w:rsid w:val="00C92DB0"/>
    <w:rsid w:val="00C93EAA"/>
    <w:rsid w:val="00C943C1"/>
    <w:rsid w:val="00C94DCD"/>
    <w:rsid w:val="00C95BD4"/>
    <w:rsid w:val="00C96B9B"/>
    <w:rsid w:val="00C9763D"/>
    <w:rsid w:val="00C97924"/>
    <w:rsid w:val="00CA147F"/>
    <w:rsid w:val="00CA4627"/>
    <w:rsid w:val="00CA4B81"/>
    <w:rsid w:val="00CA57A5"/>
    <w:rsid w:val="00CA7AFA"/>
    <w:rsid w:val="00CB1303"/>
    <w:rsid w:val="00CB3F1D"/>
    <w:rsid w:val="00CB6A03"/>
    <w:rsid w:val="00CB74C6"/>
    <w:rsid w:val="00CC4171"/>
    <w:rsid w:val="00CC47D6"/>
    <w:rsid w:val="00CC52A0"/>
    <w:rsid w:val="00CC5ABA"/>
    <w:rsid w:val="00CC63CB"/>
    <w:rsid w:val="00CC6D85"/>
    <w:rsid w:val="00CD0663"/>
    <w:rsid w:val="00CD1799"/>
    <w:rsid w:val="00CD1B13"/>
    <w:rsid w:val="00CD2467"/>
    <w:rsid w:val="00CD4467"/>
    <w:rsid w:val="00CD4DFB"/>
    <w:rsid w:val="00CD4F1D"/>
    <w:rsid w:val="00CD5FE2"/>
    <w:rsid w:val="00CD7F81"/>
    <w:rsid w:val="00CE0A3C"/>
    <w:rsid w:val="00CE0A64"/>
    <w:rsid w:val="00CE1400"/>
    <w:rsid w:val="00CE1AAF"/>
    <w:rsid w:val="00CE2BFA"/>
    <w:rsid w:val="00CE4C96"/>
    <w:rsid w:val="00CF60B5"/>
    <w:rsid w:val="00CF65A8"/>
    <w:rsid w:val="00CF72F4"/>
    <w:rsid w:val="00D0243E"/>
    <w:rsid w:val="00D02A8C"/>
    <w:rsid w:val="00D02F38"/>
    <w:rsid w:val="00D03827"/>
    <w:rsid w:val="00D05DE8"/>
    <w:rsid w:val="00D05E55"/>
    <w:rsid w:val="00D12B43"/>
    <w:rsid w:val="00D15F46"/>
    <w:rsid w:val="00D16824"/>
    <w:rsid w:val="00D252CB"/>
    <w:rsid w:val="00D31827"/>
    <w:rsid w:val="00D3258A"/>
    <w:rsid w:val="00D33FB6"/>
    <w:rsid w:val="00D3500F"/>
    <w:rsid w:val="00D35BD2"/>
    <w:rsid w:val="00D371B3"/>
    <w:rsid w:val="00D403BF"/>
    <w:rsid w:val="00D45B68"/>
    <w:rsid w:val="00D461C2"/>
    <w:rsid w:val="00D4653F"/>
    <w:rsid w:val="00D50F88"/>
    <w:rsid w:val="00D52AB6"/>
    <w:rsid w:val="00D5391C"/>
    <w:rsid w:val="00D55136"/>
    <w:rsid w:val="00D55F3B"/>
    <w:rsid w:val="00D57FDC"/>
    <w:rsid w:val="00D60132"/>
    <w:rsid w:val="00D603D1"/>
    <w:rsid w:val="00D62274"/>
    <w:rsid w:val="00D63E8A"/>
    <w:rsid w:val="00D6646A"/>
    <w:rsid w:val="00D66893"/>
    <w:rsid w:val="00D701E9"/>
    <w:rsid w:val="00D7166D"/>
    <w:rsid w:val="00D71C35"/>
    <w:rsid w:val="00D75E88"/>
    <w:rsid w:val="00D77D17"/>
    <w:rsid w:val="00D80864"/>
    <w:rsid w:val="00D80D3B"/>
    <w:rsid w:val="00D82BCB"/>
    <w:rsid w:val="00D82D97"/>
    <w:rsid w:val="00D832A3"/>
    <w:rsid w:val="00D8339E"/>
    <w:rsid w:val="00D855DF"/>
    <w:rsid w:val="00D85ECE"/>
    <w:rsid w:val="00D916FA"/>
    <w:rsid w:val="00D956E1"/>
    <w:rsid w:val="00D9625C"/>
    <w:rsid w:val="00D96816"/>
    <w:rsid w:val="00DA151F"/>
    <w:rsid w:val="00DA1AF1"/>
    <w:rsid w:val="00DA2C9F"/>
    <w:rsid w:val="00DA400C"/>
    <w:rsid w:val="00DA651C"/>
    <w:rsid w:val="00DA726D"/>
    <w:rsid w:val="00DB0988"/>
    <w:rsid w:val="00DB0DC2"/>
    <w:rsid w:val="00DB1258"/>
    <w:rsid w:val="00DB15B2"/>
    <w:rsid w:val="00DB1872"/>
    <w:rsid w:val="00DB38F3"/>
    <w:rsid w:val="00DB3E85"/>
    <w:rsid w:val="00DB602D"/>
    <w:rsid w:val="00DC1120"/>
    <w:rsid w:val="00DC3F70"/>
    <w:rsid w:val="00DC53B9"/>
    <w:rsid w:val="00DD1BFC"/>
    <w:rsid w:val="00DD1EAE"/>
    <w:rsid w:val="00DD201E"/>
    <w:rsid w:val="00DD3C56"/>
    <w:rsid w:val="00DD40BD"/>
    <w:rsid w:val="00DD447F"/>
    <w:rsid w:val="00DD6ED6"/>
    <w:rsid w:val="00DE0E14"/>
    <w:rsid w:val="00DE1841"/>
    <w:rsid w:val="00DE26C6"/>
    <w:rsid w:val="00DE341F"/>
    <w:rsid w:val="00DE390D"/>
    <w:rsid w:val="00DE4B44"/>
    <w:rsid w:val="00DE6323"/>
    <w:rsid w:val="00DE7407"/>
    <w:rsid w:val="00DF01A2"/>
    <w:rsid w:val="00DF248C"/>
    <w:rsid w:val="00DF2CCC"/>
    <w:rsid w:val="00DF3018"/>
    <w:rsid w:val="00E01B9A"/>
    <w:rsid w:val="00E024BE"/>
    <w:rsid w:val="00E03633"/>
    <w:rsid w:val="00E078AD"/>
    <w:rsid w:val="00E104B7"/>
    <w:rsid w:val="00E1127A"/>
    <w:rsid w:val="00E124AB"/>
    <w:rsid w:val="00E12D9B"/>
    <w:rsid w:val="00E1631E"/>
    <w:rsid w:val="00E166A8"/>
    <w:rsid w:val="00E1728B"/>
    <w:rsid w:val="00E17B96"/>
    <w:rsid w:val="00E229C3"/>
    <w:rsid w:val="00E22A5A"/>
    <w:rsid w:val="00E23BDD"/>
    <w:rsid w:val="00E261A3"/>
    <w:rsid w:val="00E26F29"/>
    <w:rsid w:val="00E27E25"/>
    <w:rsid w:val="00E304DD"/>
    <w:rsid w:val="00E31F06"/>
    <w:rsid w:val="00E363DC"/>
    <w:rsid w:val="00E37BA9"/>
    <w:rsid w:val="00E37EF1"/>
    <w:rsid w:val="00E4156C"/>
    <w:rsid w:val="00E43545"/>
    <w:rsid w:val="00E43BA3"/>
    <w:rsid w:val="00E44834"/>
    <w:rsid w:val="00E448E2"/>
    <w:rsid w:val="00E474E8"/>
    <w:rsid w:val="00E51403"/>
    <w:rsid w:val="00E521F7"/>
    <w:rsid w:val="00E536CE"/>
    <w:rsid w:val="00E547B0"/>
    <w:rsid w:val="00E55FC6"/>
    <w:rsid w:val="00E56A64"/>
    <w:rsid w:val="00E56BD3"/>
    <w:rsid w:val="00E61144"/>
    <w:rsid w:val="00E6151E"/>
    <w:rsid w:val="00E62860"/>
    <w:rsid w:val="00E63ECB"/>
    <w:rsid w:val="00E65E62"/>
    <w:rsid w:val="00E70D5B"/>
    <w:rsid w:val="00E712F4"/>
    <w:rsid w:val="00E71B33"/>
    <w:rsid w:val="00E71BA6"/>
    <w:rsid w:val="00E7275C"/>
    <w:rsid w:val="00E7327D"/>
    <w:rsid w:val="00E7362C"/>
    <w:rsid w:val="00E742A8"/>
    <w:rsid w:val="00E762FE"/>
    <w:rsid w:val="00E77E73"/>
    <w:rsid w:val="00E8092A"/>
    <w:rsid w:val="00E83B4B"/>
    <w:rsid w:val="00E83E02"/>
    <w:rsid w:val="00E8442D"/>
    <w:rsid w:val="00E86983"/>
    <w:rsid w:val="00E87E5C"/>
    <w:rsid w:val="00E91DE7"/>
    <w:rsid w:val="00E91EF3"/>
    <w:rsid w:val="00E92A30"/>
    <w:rsid w:val="00E9507D"/>
    <w:rsid w:val="00E95B57"/>
    <w:rsid w:val="00E9684F"/>
    <w:rsid w:val="00E972E7"/>
    <w:rsid w:val="00E9750D"/>
    <w:rsid w:val="00E97541"/>
    <w:rsid w:val="00EA0959"/>
    <w:rsid w:val="00EA0B6A"/>
    <w:rsid w:val="00EA145B"/>
    <w:rsid w:val="00EA567C"/>
    <w:rsid w:val="00EA64A1"/>
    <w:rsid w:val="00EA6845"/>
    <w:rsid w:val="00EA7C2A"/>
    <w:rsid w:val="00EB18D9"/>
    <w:rsid w:val="00EB2758"/>
    <w:rsid w:val="00EB34DC"/>
    <w:rsid w:val="00EC070F"/>
    <w:rsid w:val="00EC227A"/>
    <w:rsid w:val="00EC2C66"/>
    <w:rsid w:val="00EC3933"/>
    <w:rsid w:val="00EC65A3"/>
    <w:rsid w:val="00EC68D7"/>
    <w:rsid w:val="00ED01AE"/>
    <w:rsid w:val="00ED2C5C"/>
    <w:rsid w:val="00ED34A3"/>
    <w:rsid w:val="00ED5A96"/>
    <w:rsid w:val="00ED7C80"/>
    <w:rsid w:val="00EE1193"/>
    <w:rsid w:val="00EE1C34"/>
    <w:rsid w:val="00EE1D22"/>
    <w:rsid w:val="00EF08C5"/>
    <w:rsid w:val="00EF0906"/>
    <w:rsid w:val="00EF4220"/>
    <w:rsid w:val="00EF4FD9"/>
    <w:rsid w:val="00EF5176"/>
    <w:rsid w:val="00EF76C7"/>
    <w:rsid w:val="00F006D1"/>
    <w:rsid w:val="00F019C8"/>
    <w:rsid w:val="00F02A74"/>
    <w:rsid w:val="00F02E93"/>
    <w:rsid w:val="00F03AE1"/>
    <w:rsid w:val="00F0515B"/>
    <w:rsid w:val="00F06641"/>
    <w:rsid w:val="00F06667"/>
    <w:rsid w:val="00F076E0"/>
    <w:rsid w:val="00F07CF8"/>
    <w:rsid w:val="00F10C91"/>
    <w:rsid w:val="00F11B48"/>
    <w:rsid w:val="00F127C1"/>
    <w:rsid w:val="00F1448F"/>
    <w:rsid w:val="00F14A9A"/>
    <w:rsid w:val="00F17569"/>
    <w:rsid w:val="00F21282"/>
    <w:rsid w:val="00F213E9"/>
    <w:rsid w:val="00F23924"/>
    <w:rsid w:val="00F23B64"/>
    <w:rsid w:val="00F241A0"/>
    <w:rsid w:val="00F25C26"/>
    <w:rsid w:val="00F310F7"/>
    <w:rsid w:val="00F32352"/>
    <w:rsid w:val="00F330B0"/>
    <w:rsid w:val="00F3344A"/>
    <w:rsid w:val="00F33775"/>
    <w:rsid w:val="00F337A5"/>
    <w:rsid w:val="00F338B6"/>
    <w:rsid w:val="00F346D4"/>
    <w:rsid w:val="00F34B84"/>
    <w:rsid w:val="00F36AE4"/>
    <w:rsid w:val="00F40BC4"/>
    <w:rsid w:val="00F40E01"/>
    <w:rsid w:val="00F42023"/>
    <w:rsid w:val="00F434C5"/>
    <w:rsid w:val="00F43E0E"/>
    <w:rsid w:val="00F466A8"/>
    <w:rsid w:val="00F474DE"/>
    <w:rsid w:val="00F474EC"/>
    <w:rsid w:val="00F51E2F"/>
    <w:rsid w:val="00F5392C"/>
    <w:rsid w:val="00F53C3C"/>
    <w:rsid w:val="00F62FF1"/>
    <w:rsid w:val="00F631D8"/>
    <w:rsid w:val="00F640B3"/>
    <w:rsid w:val="00F64CE9"/>
    <w:rsid w:val="00F65A51"/>
    <w:rsid w:val="00F70FBD"/>
    <w:rsid w:val="00F74091"/>
    <w:rsid w:val="00F76BC2"/>
    <w:rsid w:val="00F76CBF"/>
    <w:rsid w:val="00F8108F"/>
    <w:rsid w:val="00F84569"/>
    <w:rsid w:val="00F84A7C"/>
    <w:rsid w:val="00F864D5"/>
    <w:rsid w:val="00F932DA"/>
    <w:rsid w:val="00F977F5"/>
    <w:rsid w:val="00FA1C5D"/>
    <w:rsid w:val="00FA32B8"/>
    <w:rsid w:val="00FA56D9"/>
    <w:rsid w:val="00FB6E8F"/>
    <w:rsid w:val="00FB71DC"/>
    <w:rsid w:val="00FB7D4A"/>
    <w:rsid w:val="00FC2383"/>
    <w:rsid w:val="00FC5473"/>
    <w:rsid w:val="00FC5EB5"/>
    <w:rsid w:val="00FC609F"/>
    <w:rsid w:val="00FC7947"/>
    <w:rsid w:val="00FC79B0"/>
    <w:rsid w:val="00FD1CDF"/>
    <w:rsid w:val="00FD203E"/>
    <w:rsid w:val="00FD26DB"/>
    <w:rsid w:val="00FD7720"/>
    <w:rsid w:val="00FE0051"/>
    <w:rsid w:val="00FE5EF5"/>
    <w:rsid w:val="00FE7B45"/>
    <w:rsid w:val="00FF06AB"/>
    <w:rsid w:val="00FF0DD8"/>
    <w:rsid w:val="00FF0F70"/>
    <w:rsid w:val="00FF15DB"/>
    <w:rsid w:val="00FF1930"/>
    <w:rsid w:val="00FF2828"/>
    <w:rsid w:val="00FF4624"/>
    <w:rsid w:val="00FF5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E80028-654A-45C0-BFD1-637EB758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qFormat/>
    <w:rsid w:val="00EC070F"/>
    <w:pPr>
      <w:keepNext/>
      <w:spacing w:after="60"/>
      <w:outlineLvl w:val="0"/>
    </w:pPr>
    <w:rPr>
      <w:rFonts w:cs="Arial"/>
      <w:bCs/>
      <w:color w:val="4C8C2B"/>
      <w:kern w:val="32"/>
      <w:sz w:val="52"/>
      <w:szCs w:val="32"/>
    </w:rPr>
  </w:style>
  <w:style w:type="paragraph" w:styleId="Heading2">
    <w:name w:val="heading 2"/>
    <w:basedOn w:val="Normal"/>
    <w:next w:val="Normal"/>
    <w:qFormat/>
    <w:rsid w:val="00EC070F"/>
    <w:pPr>
      <w:keepNext/>
      <w:spacing w:before="240" w:after="60"/>
      <w:outlineLvl w:val="1"/>
    </w:pPr>
    <w:rPr>
      <w:rFonts w:cs="Arial"/>
      <w:b/>
      <w:bCs/>
      <w:iCs/>
      <w:color w:val="4C8C2B"/>
      <w:sz w:val="32"/>
      <w:szCs w:val="28"/>
    </w:rPr>
  </w:style>
  <w:style w:type="paragraph" w:styleId="Heading3">
    <w:name w:val="heading 3"/>
    <w:basedOn w:val="Normal"/>
    <w:next w:val="Normal"/>
    <w:qFormat/>
    <w:rsid w:val="00EC070F"/>
    <w:pPr>
      <w:keepNext/>
      <w:spacing w:before="240" w:after="60"/>
      <w:outlineLvl w:val="2"/>
    </w:pPr>
    <w:rPr>
      <w:rFonts w:cs="Arial"/>
      <w:bCs/>
      <w:color w:val="4C8C2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uiPriority w:val="99"/>
    <w:rsid w:val="003D74B2"/>
    <w:rPr>
      <w:sz w:val="16"/>
      <w:szCs w:val="16"/>
    </w:rPr>
  </w:style>
  <w:style w:type="paragraph" w:styleId="Footer">
    <w:name w:val="footer"/>
    <w:basedOn w:val="Normal"/>
    <w:link w:val="FooterChar"/>
    <w:uiPriority w:val="99"/>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uiPriority w:val="99"/>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uiPriority w:val="99"/>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character" w:styleId="FollowedHyperlink">
    <w:name w:val="FollowedHyperlink"/>
    <w:basedOn w:val="DefaultParagraphFont"/>
    <w:semiHidden/>
    <w:unhideWhenUsed/>
    <w:rsid w:val="004A58FB"/>
    <w:rPr>
      <w:color w:val="800080" w:themeColor="followedHyperlink"/>
      <w:u w:val="single"/>
    </w:rPr>
  </w:style>
  <w:style w:type="paragraph" w:styleId="NormalWeb">
    <w:name w:val="Normal (Web)"/>
    <w:basedOn w:val="Normal"/>
    <w:uiPriority w:val="99"/>
    <w:semiHidden/>
    <w:unhideWhenUsed/>
    <w:rsid w:val="00EF4220"/>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BD5F2C"/>
    <w:pPr>
      <w:spacing w:before="0" w:after="0"/>
      <w:ind w:left="720"/>
      <w:contextualSpacing/>
    </w:pPr>
    <w:rPr>
      <w:rFonts w:ascii="Times New Roman" w:hAnsi="Times New Roman"/>
    </w:rPr>
  </w:style>
  <w:style w:type="paragraph" w:styleId="NoSpacing">
    <w:name w:val="No Spacing"/>
    <w:uiPriority w:val="1"/>
    <w:qFormat/>
    <w:rsid w:val="009B1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1021AA"/>
    <w:rPr>
      <w:sz w:val="24"/>
      <w:szCs w:val="24"/>
    </w:rPr>
  </w:style>
  <w:style w:type="paragraph" w:styleId="FootnoteText">
    <w:name w:val="footnote text"/>
    <w:basedOn w:val="Normal"/>
    <w:link w:val="FootnoteTextChar"/>
    <w:uiPriority w:val="99"/>
    <w:semiHidden/>
    <w:unhideWhenUsed/>
    <w:rsid w:val="001021AA"/>
    <w:pPr>
      <w:spacing w:before="0" w:after="0"/>
    </w:pPr>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semiHidden/>
    <w:rsid w:val="001021AA"/>
    <w:rPr>
      <w:rFonts w:ascii="Calibri" w:eastAsiaTheme="minorHAnsi" w:hAnsi="Calibri"/>
      <w:lang w:eastAsia="en-US"/>
    </w:rPr>
  </w:style>
  <w:style w:type="character" w:styleId="FootnoteReference">
    <w:name w:val="footnote reference"/>
    <w:basedOn w:val="DefaultParagraphFont"/>
    <w:uiPriority w:val="99"/>
    <w:semiHidden/>
    <w:unhideWhenUsed/>
    <w:rsid w:val="001021AA"/>
    <w:rPr>
      <w:vertAlign w:val="superscript"/>
    </w:rPr>
  </w:style>
  <w:style w:type="character" w:customStyle="1" w:styleId="FooterChar">
    <w:name w:val="Footer Char"/>
    <w:basedOn w:val="DefaultParagraphFont"/>
    <w:link w:val="Footer"/>
    <w:uiPriority w:val="99"/>
    <w:rsid w:val="00546567"/>
    <w:rPr>
      <w:rFonts w:ascii="Arial" w:hAnsi="Arial"/>
      <w:b/>
      <w:color w:val="00778B"/>
      <w:sz w:val="24"/>
      <w:szCs w:val="24"/>
    </w:rPr>
  </w:style>
  <w:style w:type="paragraph" w:customStyle="1" w:styleId="Default">
    <w:name w:val="Default"/>
    <w:rsid w:val="00193DB3"/>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98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766">
      <w:bodyDiv w:val="1"/>
      <w:marLeft w:val="0"/>
      <w:marRight w:val="0"/>
      <w:marTop w:val="0"/>
      <w:marBottom w:val="0"/>
      <w:divBdr>
        <w:top w:val="none" w:sz="0" w:space="0" w:color="auto"/>
        <w:left w:val="none" w:sz="0" w:space="0" w:color="auto"/>
        <w:bottom w:val="none" w:sz="0" w:space="0" w:color="auto"/>
        <w:right w:val="none" w:sz="0" w:space="0" w:color="auto"/>
      </w:divBdr>
    </w:div>
    <w:div w:id="1284313245">
      <w:bodyDiv w:val="1"/>
      <w:marLeft w:val="0"/>
      <w:marRight w:val="0"/>
      <w:marTop w:val="0"/>
      <w:marBottom w:val="0"/>
      <w:divBdr>
        <w:top w:val="none" w:sz="0" w:space="0" w:color="auto"/>
        <w:left w:val="none" w:sz="0" w:space="0" w:color="auto"/>
        <w:bottom w:val="none" w:sz="0" w:space="0" w:color="auto"/>
        <w:right w:val="none" w:sz="0" w:space="0" w:color="auto"/>
      </w:divBdr>
    </w:div>
    <w:div w:id="1892420932">
      <w:bodyDiv w:val="1"/>
      <w:marLeft w:val="0"/>
      <w:marRight w:val="0"/>
      <w:marTop w:val="0"/>
      <w:marBottom w:val="0"/>
      <w:divBdr>
        <w:top w:val="none" w:sz="0" w:space="0" w:color="auto"/>
        <w:left w:val="none" w:sz="0" w:space="0" w:color="auto"/>
        <w:bottom w:val="none" w:sz="0" w:space="0" w:color="auto"/>
        <w:right w:val="none" w:sz="0" w:space="0" w:color="auto"/>
      </w:divBdr>
      <w:divsChild>
        <w:div w:id="994337609">
          <w:marLeft w:val="274"/>
          <w:marRight w:val="0"/>
          <w:marTop w:val="0"/>
          <w:marBottom w:val="0"/>
          <w:divBdr>
            <w:top w:val="none" w:sz="0" w:space="0" w:color="auto"/>
            <w:left w:val="none" w:sz="0" w:space="0" w:color="auto"/>
            <w:bottom w:val="none" w:sz="0" w:space="0" w:color="auto"/>
            <w:right w:val="none" w:sz="0" w:space="0" w:color="auto"/>
          </w:divBdr>
        </w:div>
        <w:div w:id="1711303291">
          <w:marLeft w:val="274"/>
          <w:marRight w:val="0"/>
          <w:marTop w:val="0"/>
          <w:marBottom w:val="0"/>
          <w:divBdr>
            <w:top w:val="none" w:sz="0" w:space="0" w:color="auto"/>
            <w:left w:val="none" w:sz="0" w:space="0" w:color="auto"/>
            <w:bottom w:val="none" w:sz="0" w:space="0" w:color="auto"/>
            <w:right w:val="none" w:sz="0" w:space="0" w:color="auto"/>
          </w:divBdr>
        </w:div>
        <w:div w:id="1112827061">
          <w:marLeft w:val="274"/>
          <w:marRight w:val="0"/>
          <w:marTop w:val="0"/>
          <w:marBottom w:val="0"/>
          <w:divBdr>
            <w:top w:val="none" w:sz="0" w:space="0" w:color="auto"/>
            <w:left w:val="none" w:sz="0" w:space="0" w:color="auto"/>
            <w:bottom w:val="none" w:sz="0" w:space="0" w:color="auto"/>
            <w:right w:val="none" w:sz="0" w:space="0" w:color="auto"/>
          </w:divBdr>
        </w:div>
        <w:div w:id="96944344">
          <w:marLeft w:val="274"/>
          <w:marRight w:val="0"/>
          <w:marTop w:val="0"/>
          <w:marBottom w:val="0"/>
          <w:divBdr>
            <w:top w:val="none" w:sz="0" w:space="0" w:color="auto"/>
            <w:left w:val="none" w:sz="0" w:space="0" w:color="auto"/>
            <w:bottom w:val="none" w:sz="0" w:space="0" w:color="auto"/>
            <w:right w:val="none" w:sz="0" w:space="0" w:color="auto"/>
          </w:divBdr>
        </w:div>
        <w:div w:id="690568982">
          <w:marLeft w:val="274"/>
          <w:marRight w:val="0"/>
          <w:marTop w:val="0"/>
          <w:marBottom w:val="0"/>
          <w:divBdr>
            <w:top w:val="none" w:sz="0" w:space="0" w:color="auto"/>
            <w:left w:val="none" w:sz="0" w:space="0" w:color="auto"/>
            <w:bottom w:val="none" w:sz="0" w:space="0" w:color="auto"/>
            <w:right w:val="none" w:sz="0" w:space="0" w:color="auto"/>
          </w:divBdr>
        </w:div>
        <w:div w:id="647129388">
          <w:marLeft w:val="274"/>
          <w:marRight w:val="0"/>
          <w:marTop w:val="0"/>
          <w:marBottom w:val="0"/>
          <w:divBdr>
            <w:top w:val="none" w:sz="0" w:space="0" w:color="auto"/>
            <w:left w:val="none" w:sz="0" w:space="0" w:color="auto"/>
            <w:bottom w:val="none" w:sz="0" w:space="0" w:color="auto"/>
            <w:right w:val="none" w:sz="0" w:space="0" w:color="auto"/>
          </w:divBdr>
        </w:div>
      </w:divsChild>
    </w:div>
    <w:div w:id="1959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__data/assets/pdf_file/0004/648841/Business-Rules-for-Eligibility-of-PSP-Service-Packages-FC,-ITC-Feb-19.pdf" TargetMode="External"/><Relationship Id="rId13" Type="http://schemas.openxmlformats.org/officeDocument/2006/relationships/hyperlink" Target="mailto:OOHCRecontracting@facs.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s.nsw.gov.au/about/reforms/NSWPF/nsw-therapeutic-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Chrome%20Downloads\PSP-Changes-to-PSP-contracts-effective-1-July-2019%20(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s.nsw.gov.au/__data/assets/pdf_file/0009/437733/ITC-RFT-Volume-5-Appendix-5-Service-Overview-ITC.pdf" TargetMode="External"/><Relationship Id="rId4" Type="http://schemas.openxmlformats.org/officeDocument/2006/relationships/settings" Target="settings.xml"/><Relationship Id="rId9" Type="http://schemas.openxmlformats.org/officeDocument/2006/relationships/hyperlink" Target="https://www.facs.nsw.gov.au/__data/assets/pdf_file/0007/595195/PSP-PCMP-Policy-Statement-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Fact_sheet_external_FA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8BE5-C1B9-4893-ABD4-39DDA43D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Fact_sheet_external_FACS.dot</Template>
  <TotalTime>2</TotalTime>
  <Pages>7</Pages>
  <Words>1671</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Factsheet template - green</vt:lpstr>
    </vt:vector>
  </TitlesOfParts>
  <Company>Department of Communities &amp; Justice NSW</Company>
  <LinksUpToDate>false</LinksUpToDate>
  <CharactersWithSpaces>11547</CharactersWithSpaces>
  <SharedDoc>false</SharedDoc>
  <HLinks>
    <vt:vector size="6" baseType="variant">
      <vt:variant>
        <vt:i4>2752617</vt:i4>
      </vt:variant>
      <vt:variant>
        <vt:i4>0</vt:i4>
      </vt:variant>
      <vt:variant>
        <vt:i4>0</vt:i4>
      </vt:variant>
      <vt:variant>
        <vt:i4>5</vt:i4>
      </vt:variant>
      <vt:variant>
        <vt:lpwstr>http://intranet.facs.nsw.gov.au/internal_services/ministerial_and_communication_services/writing-guides-and-resources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Therapeutic Transitional Care (ITTC) Outreach</dc:title>
  <dc:creator>Laura Yan Guo</dc:creator>
  <cp:lastModifiedBy>Mark Elliott (Ashfield)</cp:lastModifiedBy>
  <cp:revision>3</cp:revision>
  <cp:lastPrinted>2020-01-08T00:21:00Z</cp:lastPrinted>
  <dcterms:created xsi:type="dcterms:W3CDTF">2020-06-03T23:16:00Z</dcterms:created>
  <dcterms:modified xsi:type="dcterms:W3CDTF">2020-08-27T07:08:00Z</dcterms:modified>
</cp:coreProperties>
</file>