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BFBA" w14:textId="77777777" w:rsidR="002A72C9" w:rsidRDefault="002A72C9" w:rsidP="002A72C9">
      <w:pPr>
        <w:ind w:right="-1709"/>
      </w:pPr>
      <w:r>
        <w:rPr>
          <w:noProof/>
        </w:rPr>
        <mc:AlternateContent>
          <mc:Choice Requires="wps">
            <w:drawing>
              <wp:inline distT="0" distB="0" distL="0" distR="0" wp14:anchorId="692CFEB7" wp14:editId="7E3494A2">
                <wp:extent cx="5610386" cy="898396"/>
                <wp:effectExtent l="0" t="0" r="0" b="0"/>
                <wp:docPr id="77" name="Text Box 77" descr="Communities and Justi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386" cy="8983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00FAF" w14:textId="77777777" w:rsidR="002A72C9" w:rsidRPr="002C7C6A" w:rsidRDefault="002A72C9" w:rsidP="002A72C9">
                            <w:pPr>
                              <w:ind w:left="-142"/>
                              <w:rPr>
                                <w:rFonts w:ascii="Public Sans SemiBold" w:hAnsi="Public Sans SemiBold"/>
                                <w:b/>
                                <w:bCs/>
                                <w:color w:val="002664" w:themeColor="background2"/>
                                <w:sz w:val="28"/>
                                <w:szCs w:val="28"/>
                              </w:rPr>
                            </w:pPr>
                            <w:r w:rsidRPr="002C7C6A">
                              <w:rPr>
                                <w:rFonts w:ascii="Public Sans SemiBold" w:hAnsi="Public Sans SemiBold"/>
                                <w:b/>
                                <w:bCs/>
                                <w:color w:val="002664" w:themeColor="background2"/>
                                <w:sz w:val="28"/>
                                <w:szCs w:val="28"/>
                              </w:rPr>
                              <w:t>Communities and Justice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2CFEB7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alt="Communities and Justice" style="width:441.75pt;height:7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" filled="f" stroked="f" strokeweight=".5pt">
                <v:textbox>
                  <w:txbxContent>
                    <w:p w14:paraId="6CE00FAF" w14:textId="77777777" w:rsidR="002A72C9" w:rsidRPr="002C7C6A" w:rsidRDefault="002A72C9" w:rsidP="002A72C9">
                      <w:pPr>
                        <w:ind w:left="-142"/>
                        <w:rPr>
                          <w:rFonts w:ascii="Public Sans SemiBold" w:hAnsi="Public Sans SemiBold"/>
                          <w:b/>
                          <w:bCs/>
                          <w:color w:val="002664" w:themeColor="background2"/>
                          <w:sz w:val="28"/>
                          <w:szCs w:val="28"/>
                        </w:rPr>
                      </w:pPr>
                      <w:r w:rsidRPr="002C7C6A">
                        <w:rPr>
                          <w:rFonts w:ascii="Public Sans SemiBold" w:hAnsi="Public Sans SemiBold"/>
                          <w:b/>
                          <w:bCs/>
                          <w:color w:val="002664" w:themeColor="background2"/>
                          <w:sz w:val="28"/>
                          <w:szCs w:val="28"/>
                        </w:rPr>
                        <w:t>Communities and Justice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sz w:val="24"/>
          <w:lang w:eastAsia="en-GB"/>
        </w:rPr>
        <w:drawing>
          <wp:inline distT="0" distB="0" distL="0" distR="0" wp14:anchorId="4237091B" wp14:editId="54652D32">
            <wp:extent cx="828000" cy="900000"/>
            <wp:effectExtent l="0" t="0" r="0" b="1905"/>
            <wp:docPr id="27" name="Picture 27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SW Governmen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48B14" w14:textId="69072DF9" w:rsidR="0038426E" w:rsidRDefault="0038426E" w:rsidP="0038426E">
      <w:pPr>
        <w:pStyle w:val="Heading1"/>
        <w:rPr>
          <w:rFonts w:eastAsiaTheme="majorEastAsia"/>
          <w:color w:val="001C4A" w:themeColor="accent1" w:themeShade="BF"/>
          <w:sz w:val="32"/>
        </w:rPr>
      </w:pPr>
      <w:r w:rsidRPr="00B97689">
        <w:rPr>
          <w:b/>
          <w:bCs w:val="0"/>
        </w:rPr>
        <w:t xml:space="preserve">Mandatory Disease Testing Act 2021 </w:t>
      </w:r>
      <w:r>
        <w:t>Information for workers</w:t>
      </w:r>
    </w:p>
    <w:p w14:paraId="4583B7BF" w14:textId="77777777" w:rsidR="002A72C9" w:rsidRPr="001C7B72" w:rsidRDefault="002A72C9" w:rsidP="002A72C9">
      <w:r>
        <w:rPr>
          <w:noProof/>
        </w:rPr>
        <mc:AlternateContent>
          <mc:Choice Requires="wps">
            <w:drawing>
              <wp:inline distT="0" distB="0" distL="0" distR="0" wp14:anchorId="4883AF94" wp14:editId="68EF12B1">
                <wp:extent cx="6431500" cy="0"/>
                <wp:effectExtent l="0" t="0" r="7620" b="12700"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1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line w14:anchorId="5BA746DB" id="Straight Connector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" strokecolor="#002664 [3214]" strokeweight=".5pt">
                <w10:anchorlock/>
              </v:line>
            </w:pict>
          </mc:Fallback>
        </mc:AlternateContent>
      </w:r>
    </w:p>
    <w:p w14:paraId="53C9530C" w14:textId="358837D8" w:rsidR="0038426E" w:rsidRDefault="0038426E" w:rsidP="00FD2FD9">
      <w:pPr>
        <w:pStyle w:val="Heading3"/>
      </w:pPr>
    </w:p>
    <w:p w14:paraId="7A53540B" w14:textId="0A55BBB4" w:rsidR="001D46D2" w:rsidRDefault="00FE18AB" w:rsidP="00225A50">
      <w:pPr>
        <w:pStyle w:val="Heading3"/>
        <w:rPr>
          <w:b w:val="0"/>
          <w:bCs w:val="0"/>
        </w:rPr>
      </w:pPr>
      <w:r>
        <w:rPr>
          <w:b w:val="0"/>
          <w:bCs w:val="0"/>
        </w:rPr>
        <w:t xml:space="preserve">Under the </w:t>
      </w:r>
      <w:r w:rsidRPr="00EA013F">
        <w:rPr>
          <w:b w:val="0"/>
          <w:bCs w:val="0"/>
          <w:i/>
          <w:iCs/>
        </w:rPr>
        <w:t>Mandatory Disease Testing Act 2021</w:t>
      </w:r>
      <w:r w:rsidRPr="004B1356">
        <w:rPr>
          <w:b w:val="0"/>
          <w:bCs w:val="0"/>
        </w:rPr>
        <w:t xml:space="preserve">, </w:t>
      </w:r>
      <w:r>
        <w:rPr>
          <w:b w:val="0"/>
          <w:bCs w:val="0"/>
        </w:rPr>
        <w:t>fr</w:t>
      </w:r>
      <w:r w:rsidRPr="00EA013F">
        <w:rPr>
          <w:b w:val="0"/>
          <w:bCs w:val="0"/>
        </w:rPr>
        <w:t>ontline worker</w:t>
      </w:r>
      <w:r>
        <w:rPr>
          <w:b w:val="0"/>
          <w:bCs w:val="0"/>
        </w:rPr>
        <w:t>s</w:t>
      </w:r>
      <w:r w:rsidRPr="00EA013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who </w:t>
      </w:r>
      <w:r w:rsidRPr="004B1356">
        <w:rPr>
          <w:b w:val="0"/>
          <w:bCs w:val="0"/>
        </w:rPr>
        <w:t xml:space="preserve">have come into contact with </w:t>
      </w:r>
      <w:r w:rsidRPr="00FE18AB">
        <w:rPr>
          <w:b w:val="0"/>
          <w:bCs w:val="0"/>
        </w:rPr>
        <w:t xml:space="preserve">another person’s bodily fluid </w:t>
      </w:r>
      <w:r w:rsidRPr="00EA013F">
        <w:rPr>
          <w:b w:val="0"/>
          <w:bCs w:val="0"/>
        </w:rPr>
        <w:t>(blood, faeces, saliva, semen)</w:t>
      </w:r>
      <w:r w:rsidR="001D46D2">
        <w:rPr>
          <w:b w:val="0"/>
          <w:bCs w:val="0"/>
        </w:rPr>
        <w:t xml:space="preserve"> </w:t>
      </w:r>
      <w:r w:rsidR="001D46D2" w:rsidRPr="008E1183">
        <w:rPr>
          <w:b w:val="0"/>
          <w:bCs w:val="0"/>
        </w:rPr>
        <w:t>can apply for a Mandatory Testing Order (MTO)</w:t>
      </w:r>
      <w:r w:rsidR="00B22DED">
        <w:rPr>
          <w:b w:val="0"/>
          <w:bCs w:val="0"/>
        </w:rPr>
        <w:t xml:space="preserve"> if there’s</w:t>
      </w:r>
      <w:r w:rsidR="00B22DED" w:rsidRPr="008E1183">
        <w:rPr>
          <w:b w:val="0"/>
          <w:bCs w:val="0"/>
        </w:rPr>
        <w:t xml:space="preserve"> a risk t</w:t>
      </w:r>
      <w:r w:rsidR="00B22DED">
        <w:rPr>
          <w:b w:val="0"/>
          <w:bCs w:val="0"/>
        </w:rPr>
        <w:t>hey</w:t>
      </w:r>
      <w:r w:rsidR="00B22DED" w:rsidRPr="008E1183">
        <w:rPr>
          <w:b w:val="0"/>
          <w:bCs w:val="0"/>
        </w:rPr>
        <w:t xml:space="preserve"> can contract a bloodborne virus (BBV</w:t>
      </w:r>
      <w:r w:rsidR="00B22DED">
        <w:rPr>
          <w:b w:val="0"/>
          <w:bCs w:val="0"/>
        </w:rPr>
        <w:t>).</w:t>
      </w:r>
    </w:p>
    <w:p w14:paraId="7CD3AA25" w14:textId="1EB820C9" w:rsidR="001D46D2" w:rsidRDefault="001D46D2" w:rsidP="00225A50">
      <w:pPr>
        <w:pStyle w:val="Heading3"/>
        <w:rPr>
          <w:b w:val="0"/>
          <w:bCs w:val="0"/>
        </w:rPr>
      </w:pPr>
      <w:r>
        <w:rPr>
          <w:b w:val="0"/>
          <w:bCs w:val="0"/>
        </w:rPr>
        <w:t xml:space="preserve">A MTO requires the other person involved in the contact </w:t>
      </w:r>
      <w:r w:rsidR="00B22DED">
        <w:rPr>
          <w:b w:val="0"/>
          <w:bCs w:val="0"/>
        </w:rPr>
        <w:t xml:space="preserve">(the third party) </w:t>
      </w:r>
      <w:r>
        <w:rPr>
          <w:b w:val="0"/>
          <w:bCs w:val="0"/>
        </w:rPr>
        <w:t>to get a blood test</w:t>
      </w:r>
      <w:r w:rsidR="00B22DED">
        <w:rPr>
          <w:b w:val="0"/>
          <w:bCs w:val="0"/>
        </w:rPr>
        <w:t xml:space="preserve"> for HIV, Hepatitis B and Hepatitis C.</w:t>
      </w:r>
      <w:r>
        <w:rPr>
          <w:b w:val="0"/>
          <w:bCs w:val="0"/>
        </w:rPr>
        <w:t xml:space="preserve"> </w:t>
      </w:r>
    </w:p>
    <w:p w14:paraId="6E795E8F" w14:textId="77777777" w:rsidR="00B22DED" w:rsidRDefault="00B22DED" w:rsidP="00B22DED">
      <w:pPr>
        <w:pStyle w:val="Heading3"/>
      </w:pPr>
      <w:r w:rsidRPr="0038426E">
        <w:t>Consult a doctor</w:t>
      </w:r>
    </w:p>
    <w:p w14:paraId="08C8A3AD" w14:textId="4854A020" w:rsidR="000D4A19" w:rsidRDefault="00B22DED" w:rsidP="00B22DED">
      <w:pPr>
        <w:pStyle w:val="BodyText"/>
      </w:pPr>
      <w:r>
        <w:t>Before you can apply for a MTO, you must speak to a doctor about the contact as soon as possible after the incident</w:t>
      </w:r>
      <w:r w:rsidR="004B1356">
        <w:rPr>
          <w:rFonts w:ascii="Arial" w:hAnsi="Arial"/>
          <w:color w:val="4D5156"/>
          <w:sz w:val="21"/>
          <w:szCs w:val="21"/>
          <w:shd w:val="clear" w:color="auto" w:fill="FFFFFF"/>
        </w:rPr>
        <w:t>. This should be</w:t>
      </w:r>
      <w:r>
        <w:t xml:space="preserve"> </w:t>
      </w:r>
      <w:r w:rsidRPr="00EA013F">
        <w:rPr>
          <w:b/>
          <w:bCs/>
        </w:rPr>
        <w:t>within 24 hours, and no later than 72 hours</w:t>
      </w:r>
      <w:r>
        <w:t>. If you do not consult a doctor within this time, you can</w:t>
      </w:r>
      <w:r w:rsidR="004B1356">
        <w:t>not</w:t>
      </w:r>
      <w:r>
        <w:t xml:space="preserve"> apply for a MTO. </w:t>
      </w:r>
    </w:p>
    <w:p w14:paraId="412D7787" w14:textId="5BCB3418" w:rsidR="00B22DED" w:rsidRDefault="00B22DED" w:rsidP="00B22DED">
      <w:pPr>
        <w:pStyle w:val="BodyText"/>
      </w:pPr>
      <w:r>
        <w:t xml:space="preserve">Your employer might refer you to a doctor with expertise in BBVs. If no such doctor is available, you can consult another doctor, such as your </w:t>
      </w:r>
      <w:r w:rsidR="00E44DE7">
        <w:t>g</w:t>
      </w:r>
      <w:r>
        <w:t xml:space="preserve">eneral </w:t>
      </w:r>
      <w:r w:rsidR="00E44DE7">
        <w:t>p</w:t>
      </w:r>
      <w:r>
        <w:t>ractitioner.</w:t>
      </w:r>
    </w:p>
    <w:p w14:paraId="61D4D9C2" w14:textId="77777777" w:rsidR="000D4A19" w:rsidRDefault="00B22DED" w:rsidP="00B22DED">
      <w:pPr>
        <w:pStyle w:val="BodyText"/>
      </w:pPr>
      <w:r>
        <w:t xml:space="preserve">The doctor </w:t>
      </w:r>
      <w:r w:rsidR="000D4A19">
        <w:t>should</w:t>
      </w:r>
      <w:r>
        <w:t xml:space="preserve"> advise you of</w:t>
      </w:r>
      <w:r w:rsidR="000D4A19">
        <w:t>:</w:t>
      </w:r>
      <w:r>
        <w:t xml:space="preserve"> </w:t>
      </w:r>
    </w:p>
    <w:p w14:paraId="68B75E41" w14:textId="77777777" w:rsidR="000D4A19" w:rsidRDefault="00B22DED" w:rsidP="000D4A19">
      <w:pPr>
        <w:pStyle w:val="BodyText"/>
        <w:numPr>
          <w:ilvl w:val="0"/>
          <w:numId w:val="34"/>
        </w:numPr>
      </w:pPr>
      <w:r>
        <w:t>the risk of transmission arising from the incident</w:t>
      </w:r>
    </w:p>
    <w:p w14:paraId="32D1186F" w14:textId="369AE298" w:rsidR="000D4A19" w:rsidRDefault="00B22DED" w:rsidP="000D4A19">
      <w:pPr>
        <w:pStyle w:val="BodyText"/>
        <w:numPr>
          <w:ilvl w:val="0"/>
          <w:numId w:val="34"/>
        </w:numPr>
      </w:pPr>
      <w:r>
        <w:t>steps you should take to reduce the risk</w:t>
      </w:r>
      <w:r w:rsidR="0072061B">
        <w:t xml:space="preserve"> of contracting a BBV or transmitting a BBV to another person</w:t>
      </w:r>
    </w:p>
    <w:p w14:paraId="6F0AD425" w14:textId="72C41D1A" w:rsidR="000D4A19" w:rsidRDefault="00B22DED" w:rsidP="000D4A19">
      <w:pPr>
        <w:pStyle w:val="BodyText"/>
        <w:numPr>
          <w:ilvl w:val="0"/>
          <w:numId w:val="34"/>
        </w:numPr>
      </w:pPr>
      <w:r>
        <w:t xml:space="preserve">whether testing the third party </w:t>
      </w:r>
      <w:r w:rsidR="00E44DE7">
        <w:t>could help assess</w:t>
      </w:r>
      <w:r>
        <w:t xml:space="preserve"> the risk. </w:t>
      </w:r>
    </w:p>
    <w:p w14:paraId="084F5F52" w14:textId="38DD3EEC" w:rsidR="00B22DED" w:rsidRPr="00497A81" w:rsidRDefault="00B22DED" w:rsidP="004B1356">
      <w:pPr>
        <w:pStyle w:val="BodyText"/>
      </w:pPr>
      <w:r>
        <w:t>If possible, you should get written advice from the doctor.</w:t>
      </w:r>
    </w:p>
    <w:p w14:paraId="3442EF5A" w14:textId="418A92E6" w:rsidR="0038426E" w:rsidRDefault="0038426E" w:rsidP="00225A50">
      <w:pPr>
        <w:pStyle w:val="Heading3"/>
      </w:pPr>
      <w:r w:rsidRPr="0038426E">
        <w:t>When can I apply for an order?</w:t>
      </w:r>
    </w:p>
    <w:p w14:paraId="307128D9" w14:textId="7BF46834" w:rsidR="000D4A19" w:rsidRDefault="0024587F" w:rsidP="00225A50">
      <w:pPr>
        <w:pStyle w:val="BodyText"/>
      </w:pPr>
      <w:r>
        <w:t xml:space="preserve">You </w:t>
      </w:r>
      <w:r w:rsidR="00FE18AB">
        <w:t xml:space="preserve">can </w:t>
      </w:r>
      <w:r>
        <w:t xml:space="preserve">only apply to the dedicated senior officer in your organisation for a MTO </w:t>
      </w:r>
      <w:r w:rsidR="000D4A19">
        <w:t>if:</w:t>
      </w:r>
    </w:p>
    <w:p w14:paraId="4F929474" w14:textId="646AC615" w:rsidR="000D4A19" w:rsidRDefault="0024587F" w:rsidP="000D4A19">
      <w:pPr>
        <w:pStyle w:val="BodyText"/>
        <w:numPr>
          <w:ilvl w:val="0"/>
          <w:numId w:val="35"/>
        </w:numPr>
      </w:pPr>
      <w:r>
        <w:t>you have come into contact with the bodily fluid (blood, faeces, saliva, semen) of a third party</w:t>
      </w:r>
    </w:p>
    <w:p w14:paraId="01C2DE01" w14:textId="77777777" w:rsidR="000D4A19" w:rsidRDefault="0024587F" w:rsidP="000D4A19">
      <w:pPr>
        <w:pStyle w:val="BodyText"/>
        <w:numPr>
          <w:ilvl w:val="0"/>
          <w:numId w:val="35"/>
        </w:numPr>
      </w:pPr>
      <w:r>
        <w:t>the third party is at least 14 years old</w:t>
      </w:r>
    </w:p>
    <w:p w14:paraId="5011D6E2" w14:textId="6F3E08F7" w:rsidR="0024587F" w:rsidRDefault="0024587F" w:rsidP="00EA013F">
      <w:pPr>
        <w:pStyle w:val="BodyText"/>
        <w:numPr>
          <w:ilvl w:val="0"/>
          <w:numId w:val="35"/>
        </w:numPr>
      </w:pPr>
      <w:r>
        <w:t>the contact occurred:</w:t>
      </w:r>
    </w:p>
    <w:p w14:paraId="576D6A8D" w14:textId="783A793A" w:rsidR="0024587F" w:rsidRDefault="0024587F" w:rsidP="00EA013F">
      <w:pPr>
        <w:pStyle w:val="BodyText"/>
        <w:numPr>
          <w:ilvl w:val="0"/>
          <w:numId w:val="36"/>
        </w:numPr>
      </w:pPr>
      <w:r>
        <w:t>while you were on duty</w:t>
      </w:r>
    </w:p>
    <w:p w14:paraId="1B9D83E2" w14:textId="76499FFA" w:rsidR="0024587F" w:rsidRDefault="0024587F" w:rsidP="00EA013F">
      <w:pPr>
        <w:pStyle w:val="BodyText"/>
        <w:numPr>
          <w:ilvl w:val="0"/>
          <w:numId w:val="36"/>
        </w:numPr>
      </w:pPr>
      <w:r>
        <w:t xml:space="preserve">due to a deliberate action of the third party </w:t>
      </w:r>
    </w:p>
    <w:p w14:paraId="7CDED8E8" w14:textId="14655A87" w:rsidR="00FC4B65" w:rsidRDefault="0024587F" w:rsidP="00EA013F">
      <w:pPr>
        <w:pStyle w:val="BodyText"/>
        <w:numPr>
          <w:ilvl w:val="0"/>
          <w:numId w:val="36"/>
        </w:numPr>
        <w:spacing w:after="0"/>
        <w:jc w:val="both"/>
      </w:pPr>
      <w:r>
        <w:t>without your consent.</w:t>
      </w:r>
    </w:p>
    <w:p w14:paraId="448FFB61" w14:textId="77777777" w:rsidR="0038426E" w:rsidRDefault="0038426E" w:rsidP="00225A50">
      <w:pPr>
        <w:pStyle w:val="Heading3"/>
      </w:pPr>
      <w:r w:rsidRPr="0038426E">
        <w:lastRenderedPageBreak/>
        <w:t>What are the risks of BBV transmission</w:t>
      </w:r>
      <w:r>
        <w:t>?</w:t>
      </w:r>
    </w:p>
    <w:p w14:paraId="231F4A67" w14:textId="3FF79BF9" w:rsidR="003D37A5" w:rsidRDefault="0024587F" w:rsidP="00225A50">
      <w:pPr>
        <w:pStyle w:val="BodyText"/>
      </w:pPr>
      <w:r w:rsidRPr="00225A50">
        <w:t xml:space="preserve">There is some risk of transmission where the exposure involved sexual contact, </w:t>
      </w:r>
      <w:r w:rsidR="00C37B1A">
        <w:t xml:space="preserve">an injury involving </w:t>
      </w:r>
      <w:r w:rsidR="00761A83">
        <w:t xml:space="preserve">a </w:t>
      </w:r>
      <w:r w:rsidR="00F468C2">
        <w:t xml:space="preserve">contaminated </w:t>
      </w:r>
      <w:r w:rsidR="00761A83">
        <w:t>syringe or other sharp implement</w:t>
      </w:r>
      <w:r w:rsidR="00F468C2">
        <w:t>,</w:t>
      </w:r>
      <w:r w:rsidR="00761A83">
        <w:t xml:space="preserve"> </w:t>
      </w:r>
      <w:r w:rsidRPr="00225A50">
        <w:t xml:space="preserve">or where blood (including where blood is visible in other bodily fluids) </w:t>
      </w:r>
      <w:r w:rsidR="00E44DE7">
        <w:t xml:space="preserve">has </w:t>
      </w:r>
      <w:r w:rsidRPr="00225A50">
        <w:t xml:space="preserve">come into contact with broken skin, </w:t>
      </w:r>
      <w:r w:rsidR="00E44DE7">
        <w:t>your</w:t>
      </w:r>
      <w:r w:rsidR="00E44DE7" w:rsidRPr="00225A50">
        <w:t xml:space="preserve"> </w:t>
      </w:r>
      <w:r w:rsidRPr="00225A50">
        <w:t xml:space="preserve">eyes, or mouth. </w:t>
      </w:r>
    </w:p>
    <w:p w14:paraId="04D67ABC" w14:textId="6B5FEAE2" w:rsidR="0024587F" w:rsidRPr="00225A50" w:rsidRDefault="0024587F" w:rsidP="00225A50">
      <w:pPr>
        <w:pStyle w:val="BodyText"/>
      </w:pPr>
      <w:r w:rsidRPr="00225A50">
        <w:t xml:space="preserve">In other cases, such as where there is no contact with </w:t>
      </w:r>
      <w:r w:rsidR="00E44DE7">
        <w:t>your</w:t>
      </w:r>
      <w:r w:rsidR="00E44DE7" w:rsidRPr="00225A50">
        <w:t xml:space="preserve"> </w:t>
      </w:r>
      <w:r w:rsidRPr="00225A50">
        <w:t>eyes, mouth, or broken skin, or where the bodily fluid did not contain any visible blood, there is no risk of transmission.</w:t>
      </w:r>
      <w:r w:rsidR="00BA3754">
        <w:t xml:space="preserve"> For more information on the risks of BBV transmission, refer to the </w:t>
      </w:r>
      <w:hyperlink r:id="rId10" w:history="1">
        <w:r w:rsidR="00BA3754" w:rsidRPr="006C50BF">
          <w:rPr>
            <w:rStyle w:val="Hyperlink"/>
          </w:rPr>
          <w:t>Chief Health Officer guidelines</w:t>
        </w:r>
      </w:hyperlink>
      <w:r w:rsidR="006C50BF">
        <w:t>.</w:t>
      </w:r>
    </w:p>
    <w:p w14:paraId="67385D63" w14:textId="77777777" w:rsidR="00FF1EBF" w:rsidRDefault="003D37A5" w:rsidP="00FF1EBF">
      <w:pPr>
        <w:pStyle w:val="BodyText"/>
      </w:pPr>
      <w:r>
        <w:t>If you</w:t>
      </w:r>
      <w:r w:rsidR="0024587F" w:rsidRPr="00225A50">
        <w:t xml:space="preserve"> apply for a MTO, the person considering your application will need to be satisfied that testing the third party’s blood is justified. It is less likely that a MTO will be made where the nature of the contact does not give rise to any risk of transmission.</w:t>
      </w:r>
    </w:p>
    <w:p w14:paraId="334EB503" w14:textId="74CFE95C" w:rsidR="0024587F" w:rsidRDefault="0024587F" w:rsidP="00225A50">
      <w:pPr>
        <w:pStyle w:val="Heading3"/>
      </w:pPr>
      <w:r w:rsidRPr="0024587F">
        <w:t>How do I apply?</w:t>
      </w:r>
    </w:p>
    <w:p w14:paraId="34C39785" w14:textId="1D2DC9A0" w:rsidR="0024587F" w:rsidRPr="0024587F" w:rsidRDefault="00794EA4" w:rsidP="00225A50">
      <w:pPr>
        <w:pStyle w:val="BodyText"/>
      </w:pPr>
      <w:r>
        <w:t xml:space="preserve">An application must be made within 5 business days of the contact. </w:t>
      </w:r>
      <w:r w:rsidR="00350BAF">
        <w:t xml:space="preserve">To apply, you’ll need to complete a MTO application form and send it to a senior officer within your organisation. Your organisation may have </w:t>
      </w:r>
      <w:r w:rsidR="00A15206">
        <w:t xml:space="preserve">an agency </w:t>
      </w:r>
      <w:r w:rsidR="00350BAF">
        <w:t>specific form</w:t>
      </w:r>
      <w:r w:rsidR="00A15206">
        <w:t xml:space="preserve">. If not, a generic form is available to download on </w:t>
      </w:r>
      <w:r w:rsidR="00A15206" w:rsidRPr="006C50BF">
        <w:t xml:space="preserve">the </w:t>
      </w:r>
      <w:hyperlink r:id="rId11" w:history="1">
        <w:r w:rsidR="00A15206" w:rsidRPr="006C50BF">
          <w:rPr>
            <w:rStyle w:val="Hyperlink"/>
          </w:rPr>
          <w:t>Department of Communities and Justice website</w:t>
        </w:r>
      </w:hyperlink>
      <w:r w:rsidR="006C50BF">
        <w:t>.</w:t>
      </w:r>
    </w:p>
    <w:p w14:paraId="1CD6FF14" w14:textId="79C68525" w:rsidR="00A15206" w:rsidRDefault="00A15206" w:rsidP="00225A50">
      <w:pPr>
        <w:pStyle w:val="BodyText"/>
      </w:pPr>
      <w:r>
        <w:t>Your</w:t>
      </w:r>
      <w:r w:rsidRPr="0024587F">
        <w:t xml:space="preserve"> </w:t>
      </w:r>
      <w:r w:rsidR="0024587F" w:rsidRPr="0024587F">
        <w:t xml:space="preserve">application form must be completed in full to be considered. </w:t>
      </w:r>
      <w:r>
        <w:t>You should i</w:t>
      </w:r>
      <w:r w:rsidR="0024587F" w:rsidRPr="0024587F">
        <w:t xml:space="preserve">nclude any written advice from your doctor. </w:t>
      </w:r>
      <w:r w:rsidR="008378A0">
        <w:t>Your name will likely be disclosed to the third party.</w:t>
      </w:r>
    </w:p>
    <w:p w14:paraId="5B74295C" w14:textId="25279B99" w:rsidR="0092064D" w:rsidRPr="0092064D" w:rsidRDefault="0092064D" w:rsidP="0092064D">
      <w:pPr>
        <w:pStyle w:val="BodyText"/>
      </w:pPr>
      <w:r>
        <w:t xml:space="preserve">Your application must include the name and address of the third party, if known. </w:t>
      </w:r>
      <w:r w:rsidRPr="0092064D">
        <w:t xml:space="preserve">This is important information, as the senior officer is required to personally serve a copy of a MTO on the third party once it is made. A senior officer may refuse an application for a MTO if, after making reasonable inquiries, the senior officer cannot locate the third party to whom the application relates. </w:t>
      </w:r>
    </w:p>
    <w:p w14:paraId="63B65311" w14:textId="119A9146" w:rsidR="00A15206" w:rsidRDefault="00A15206" w:rsidP="00225A50">
      <w:pPr>
        <w:pStyle w:val="BodyText"/>
      </w:pPr>
      <w:r>
        <w:t xml:space="preserve">If you have any questions about </w:t>
      </w:r>
      <w:r w:rsidR="00307D62">
        <w:t>completing an</w:t>
      </w:r>
      <w:r>
        <w:t xml:space="preserve"> application, please </w:t>
      </w:r>
      <w:r w:rsidR="0005611F">
        <w:t xml:space="preserve">speak with the relevant </w:t>
      </w:r>
      <w:r w:rsidR="0092064D">
        <w:t xml:space="preserve">business unit </w:t>
      </w:r>
      <w:r w:rsidR="0005611F">
        <w:t>within your agency.</w:t>
      </w:r>
      <w:r>
        <w:t xml:space="preserve"> </w:t>
      </w:r>
    </w:p>
    <w:p w14:paraId="7156D3BB" w14:textId="2AC3EE9B" w:rsidR="0024587F" w:rsidRDefault="0024587F" w:rsidP="00225A50">
      <w:pPr>
        <w:pStyle w:val="BodyText"/>
      </w:pPr>
      <w:r w:rsidRPr="0024587F">
        <w:t>Knowingly providing false information in a MTO application is an offence punishable by up to 12 months imprisonment.</w:t>
      </w:r>
    </w:p>
    <w:p w14:paraId="422CCEB3" w14:textId="7DB40F58" w:rsidR="0024587F" w:rsidRDefault="0024587F" w:rsidP="00225A50">
      <w:pPr>
        <w:pStyle w:val="Heading3"/>
      </w:pPr>
      <w:r w:rsidRPr="0024587F">
        <w:t>What happen</w:t>
      </w:r>
      <w:r>
        <w:t>s</w:t>
      </w:r>
      <w:r w:rsidRPr="0024587F">
        <w:t xml:space="preserve"> after </w:t>
      </w:r>
      <w:r w:rsidR="00307D62">
        <w:t>I submit my</w:t>
      </w:r>
      <w:r w:rsidR="00307D62" w:rsidRPr="0024587F">
        <w:t xml:space="preserve"> </w:t>
      </w:r>
      <w:r w:rsidRPr="0024587F">
        <w:t>application?</w:t>
      </w:r>
    </w:p>
    <w:p w14:paraId="0D70840F" w14:textId="22F3FED2" w:rsidR="00307D62" w:rsidRDefault="0024587F" w:rsidP="00225A50">
      <w:pPr>
        <w:pStyle w:val="BodyText"/>
      </w:pPr>
      <w:r w:rsidRPr="00225A50">
        <w:t xml:space="preserve">Your application will usually be decided by the senior officer within three business days. If the third party </w:t>
      </w:r>
      <w:r w:rsidR="00250B08">
        <w:t xml:space="preserve">appears to be a </w:t>
      </w:r>
      <w:r w:rsidRPr="00225A50">
        <w:t>vulnerable</w:t>
      </w:r>
      <w:r w:rsidR="00250B08">
        <w:t xml:space="preserve"> third party</w:t>
      </w:r>
      <w:r w:rsidRPr="00225A50">
        <w:t xml:space="preserve">, </w:t>
      </w:r>
      <w:r w:rsidR="00307D62">
        <w:t xml:space="preserve">the senior officer must apply to the Local Court or Children’s Court for a decision. In this case, it may take longer to decide your application. </w:t>
      </w:r>
    </w:p>
    <w:p w14:paraId="74EF8E00" w14:textId="77777777" w:rsidR="0092064D" w:rsidRDefault="0092064D">
      <w:pPr>
        <w:spacing w:after="0"/>
        <w:rPr>
          <w:rFonts w:cs="Arial"/>
          <w:szCs w:val="20"/>
        </w:rPr>
      </w:pPr>
      <w:r>
        <w:br w:type="page"/>
      </w:r>
    </w:p>
    <w:p w14:paraId="375055E3" w14:textId="6BE6163A" w:rsidR="00307D62" w:rsidRDefault="00307D62" w:rsidP="00225A50">
      <w:pPr>
        <w:pStyle w:val="BodyText"/>
      </w:pPr>
      <w:r>
        <w:lastRenderedPageBreak/>
        <w:t xml:space="preserve">A third party may be considered vulnerable if: </w:t>
      </w:r>
    </w:p>
    <w:p w14:paraId="7207A634" w14:textId="4F6106CD" w:rsidR="00307D62" w:rsidRDefault="0024587F" w:rsidP="00307D62">
      <w:pPr>
        <w:pStyle w:val="BodyText"/>
        <w:numPr>
          <w:ilvl w:val="0"/>
          <w:numId w:val="37"/>
        </w:numPr>
      </w:pPr>
      <w:r w:rsidRPr="00225A50">
        <w:t>they are between the ages of 14 and 18</w:t>
      </w:r>
      <w:r w:rsidR="009A0B75">
        <w:t>; or</w:t>
      </w:r>
    </w:p>
    <w:p w14:paraId="18041CF9" w14:textId="78924A12" w:rsidR="0024587F" w:rsidRPr="00225A50" w:rsidRDefault="0024587F" w:rsidP="00EA013F">
      <w:pPr>
        <w:pStyle w:val="BodyText"/>
        <w:numPr>
          <w:ilvl w:val="0"/>
          <w:numId w:val="37"/>
        </w:numPr>
      </w:pPr>
      <w:r w:rsidRPr="00225A50">
        <w:t xml:space="preserve">they have a </w:t>
      </w:r>
      <w:r w:rsidR="00FF3145">
        <w:t xml:space="preserve">mental health condition or </w:t>
      </w:r>
      <w:r w:rsidRPr="00225A50">
        <w:t>cognitive impairment</w:t>
      </w:r>
      <w:r w:rsidR="00F8737E">
        <w:t xml:space="preserve"> that affects their ability to consent to providing blood</w:t>
      </w:r>
      <w:r w:rsidR="00307D62">
        <w:t>.</w:t>
      </w:r>
    </w:p>
    <w:p w14:paraId="135441DB" w14:textId="1A33BBED" w:rsidR="00FF3145" w:rsidRPr="00225A50" w:rsidRDefault="00FF3145" w:rsidP="00225A50">
      <w:pPr>
        <w:pStyle w:val="BodyText"/>
      </w:pPr>
      <w:r>
        <w:t>In most cases, the senior officer will first contact the third party to request a voluntary blood sample.</w:t>
      </w:r>
      <w:r w:rsidR="001C34E2">
        <w:t xml:space="preserve"> </w:t>
      </w:r>
      <w:r w:rsidR="00C21667">
        <w:t xml:space="preserve">If the third party agrees, a MTO will be unnecessary.  </w:t>
      </w:r>
      <w:r>
        <w:t xml:space="preserve">The senior officer will also offer the third party an opportunity to make a submission, which they must consider before deciding </w:t>
      </w:r>
      <w:r w:rsidR="006B2EE0">
        <w:t>your</w:t>
      </w:r>
      <w:r>
        <w:t xml:space="preserve"> application.</w:t>
      </w:r>
    </w:p>
    <w:p w14:paraId="66972AE9" w14:textId="0C3416BC" w:rsidR="00D6064F" w:rsidRPr="00D6064F" w:rsidRDefault="00D6064F" w:rsidP="00D6064F">
      <w:pPr>
        <w:pStyle w:val="BodyText"/>
      </w:pPr>
      <w:r w:rsidRPr="00D6064F">
        <w:t xml:space="preserve">The senior officer must consider the </w:t>
      </w:r>
      <w:hyperlink r:id="rId12" w:history="1">
        <w:r w:rsidRPr="006C50BF">
          <w:rPr>
            <w:rStyle w:val="Hyperlink"/>
          </w:rPr>
          <w:t>Chief Health Officer guidelines</w:t>
        </w:r>
      </w:hyperlink>
      <w:r w:rsidR="006C50BF">
        <w:t xml:space="preserve"> </w:t>
      </w:r>
      <w:r w:rsidRPr="00D6064F">
        <w:t>when they review your application. Once the senior officer makes a decision, they must inform you and provide the reasons for the decision.</w:t>
      </w:r>
    </w:p>
    <w:p w14:paraId="73D28CDA" w14:textId="68140485" w:rsidR="0024587F" w:rsidRPr="00225A50" w:rsidRDefault="0024587F" w:rsidP="00225A50">
      <w:pPr>
        <w:pStyle w:val="BodyText"/>
      </w:pPr>
      <w:r w:rsidRPr="00225A50">
        <w:t xml:space="preserve">If a MTO is made and the third party complies with the order, </w:t>
      </w:r>
      <w:r w:rsidR="00D6064F">
        <w:t xml:space="preserve">their </w:t>
      </w:r>
      <w:r w:rsidRPr="00225A50">
        <w:t>blood test results will be sent directly to the doctor you nominated in your application.</w:t>
      </w:r>
    </w:p>
    <w:p w14:paraId="3980C235" w14:textId="77777777" w:rsidR="0024587F" w:rsidRDefault="0024587F" w:rsidP="00225A50">
      <w:pPr>
        <w:pStyle w:val="Heading3"/>
      </w:pPr>
      <w:r w:rsidRPr="0024587F">
        <w:t>What if my application is refused?</w:t>
      </w:r>
    </w:p>
    <w:p w14:paraId="676DFEE0" w14:textId="4A55FAF3" w:rsidR="0024587F" w:rsidRDefault="0024587F" w:rsidP="00225A50">
      <w:pPr>
        <w:pStyle w:val="BodyText"/>
        <w:rPr>
          <w:rFonts w:eastAsiaTheme="minorHAnsi"/>
          <w:color w:val="auto"/>
        </w:rPr>
      </w:pPr>
      <w:r>
        <w:t xml:space="preserve">If a senior officer refuses your application for a MTO, you can apply to the Chief Health Officer of the Ministry of Health (CHO) </w:t>
      </w:r>
      <w:r w:rsidR="00D6064F">
        <w:t>to</w:t>
      </w:r>
      <w:r>
        <w:t xml:space="preserve"> review their decision.</w:t>
      </w:r>
    </w:p>
    <w:p w14:paraId="72E8FEE5" w14:textId="4DBD2CCB" w:rsidR="00C466A9" w:rsidRDefault="00D6064F" w:rsidP="00225A50">
      <w:pPr>
        <w:pStyle w:val="BodyText"/>
      </w:pPr>
      <w:r>
        <w:t xml:space="preserve">You must make an application in writing </w:t>
      </w:r>
      <w:r w:rsidR="0024587F" w:rsidRPr="00EA013F">
        <w:rPr>
          <w:b/>
          <w:bCs/>
        </w:rPr>
        <w:t>within 1 business day</w:t>
      </w:r>
      <w:r w:rsidR="0024587F">
        <w:t xml:space="preserve"> of being notified of the senior officer’s decision</w:t>
      </w:r>
      <w:r>
        <w:t>. You</w:t>
      </w:r>
      <w:r w:rsidR="006B2EE0">
        <w:t>r</w:t>
      </w:r>
      <w:r>
        <w:t xml:space="preserve"> application </w:t>
      </w:r>
      <w:r w:rsidR="0024587F">
        <w:t xml:space="preserve">must include </w:t>
      </w:r>
      <w:r w:rsidR="00971518">
        <w:t xml:space="preserve">a copy of your own application, </w:t>
      </w:r>
      <w:r w:rsidR="00592886">
        <w:t xml:space="preserve">the senior officer’s decision and </w:t>
      </w:r>
      <w:r w:rsidR="0024587F">
        <w:t xml:space="preserve">reasons for </w:t>
      </w:r>
      <w:r w:rsidR="00592886">
        <w:t xml:space="preserve">their </w:t>
      </w:r>
      <w:r w:rsidR="0024587F">
        <w:t>decision</w:t>
      </w:r>
      <w:r w:rsidR="00592886">
        <w:t>.</w:t>
      </w:r>
      <w:r w:rsidR="0024587F">
        <w:t xml:space="preserve"> </w:t>
      </w:r>
    </w:p>
    <w:p w14:paraId="01D7CD04" w14:textId="41E13033" w:rsidR="0024587F" w:rsidRDefault="001348C7" w:rsidP="00225A50">
      <w:pPr>
        <w:pStyle w:val="BodyText"/>
        <w:rPr>
          <w:rStyle w:val="Hyperlink"/>
        </w:rPr>
      </w:pPr>
      <w:r>
        <w:t xml:space="preserve">The CHO may contact you to request </w:t>
      </w:r>
      <w:r w:rsidR="00D24310">
        <w:t>more</w:t>
      </w:r>
      <w:r>
        <w:t xml:space="preserve"> information as part of the review. </w:t>
      </w:r>
      <w:r w:rsidR="00D6064F">
        <w:t xml:space="preserve">You can send your review application by email </w:t>
      </w:r>
      <w:r w:rsidR="0024587F">
        <w:t xml:space="preserve">to </w:t>
      </w:r>
      <w:hyperlink r:id="rId13" w:history="1">
        <w:r w:rsidR="0024587F">
          <w:rPr>
            <w:rStyle w:val="Hyperlink"/>
          </w:rPr>
          <w:t>NSWH-MDT@health.nsw.gov.au</w:t>
        </w:r>
      </w:hyperlink>
    </w:p>
    <w:p w14:paraId="455E77F8" w14:textId="35FF894F" w:rsidR="00AD21CA" w:rsidRPr="00F87A78" w:rsidRDefault="00AD21CA" w:rsidP="00AD21CA">
      <w:pPr>
        <w:pStyle w:val="Heading3"/>
      </w:pPr>
      <w:r w:rsidRPr="00F87A78">
        <w:t>Oversight by NSW Ombudsman</w:t>
      </w:r>
    </w:p>
    <w:p w14:paraId="35309C58" w14:textId="34563239" w:rsidR="009F16BD" w:rsidRDefault="009F16BD" w:rsidP="009F16BD">
      <w:pPr>
        <w:pStyle w:val="BodyText"/>
      </w:pPr>
      <w:r w:rsidRPr="00F87A78">
        <w:t xml:space="preserve">The NSW Ombudsman </w:t>
      </w:r>
      <w:r w:rsidR="00D24310">
        <w:t>will</w:t>
      </w:r>
      <w:r w:rsidRPr="00F87A78">
        <w:t xml:space="preserve"> monitor the operation and administration of the </w:t>
      </w:r>
      <w:r w:rsidRPr="007F3808">
        <w:rPr>
          <w:i/>
          <w:iCs/>
        </w:rPr>
        <w:t>Mandatory Disease Testing Act</w:t>
      </w:r>
      <w:r w:rsidRPr="00F87A78">
        <w:t xml:space="preserve">. For </w:t>
      </w:r>
      <w:r w:rsidR="00D24310">
        <w:t>more</w:t>
      </w:r>
      <w:r w:rsidRPr="00F87A78">
        <w:t xml:space="preserve"> information</w:t>
      </w:r>
      <w:r w:rsidR="00D24310">
        <w:t>,</w:t>
      </w:r>
      <w:r w:rsidRPr="00F87A78">
        <w:t xml:space="preserve"> </w:t>
      </w:r>
      <w:r w:rsidR="0005611F">
        <w:t xml:space="preserve">visit </w:t>
      </w:r>
      <w:hyperlink r:id="rId14" w:history="1">
        <w:r w:rsidR="00D24310">
          <w:rPr>
            <w:rStyle w:val="Hyperlink"/>
          </w:rPr>
          <w:t>ombo.nsw.gov.au/about-us/what-we-do/oversight-of-mandatory-disease-testing-act</w:t>
        </w:r>
      </w:hyperlink>
    </w:p>
    <w:p w14:paraId="58CF7495" w14:textId="77777777" w:rsidR="009F16BD" w:rsidRPr="009F16BD" w:rsidRDefault="009F16BD" w:rsidP="009F16BD">
      <w:pPr>
        <w:pStyle w:val="BodyText"/>
      </w:pPr>
    </w:p>
    <w:p w14:paraId="12185438" w14:textId="77777777" w:rsidR="009F16BD" w:rsidRPr="009F16BD" w:rsidRDefault="009F16BD" w:rsidP="00F87A78">
      <w:pPr>
        <w:pStyle w:val="BodyText"/>
      </w:pPr>
    </w:p>
    <w:p w14:paraId="27437457" w14:textId="7DF275AA" w:rsidR="00AD21CA" w:rsidRPr="00F87A78" w:rsidRDefault="00AD21CA" w:rsidP="00F87A78">
      <w:pPr>
        <w:rPr>
          <w:lang w:val="en-GB"/>
        </w:rPr>
      </w:pPr>
    </w:p>
    <w:sectPr w:rsidR="00AD21CA" w:rsidRPr="00F87A78" w:rsidSect="00311886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851" w:right="851" w:bottom="851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BA1D" w14:textId="77777777" w:rsidR="00DB6B5C" w:rsidRDefault="00DB6B5C" w:rsidP="00D41211">
      <w:r>
        <w:separator/>
      </w:r>
    </w:p>
  </w:endnote>
  <w:endnote w:type="continuationSeparator" w:id="0">
    <w:p w14:paraId="6CF69E58" w14:textId="77777777" w:rsidR="00DB6B5C" w:rsidRDefault="00DB6B5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542414"/>
      <w:docPartObj>
        <w:docPartGallery w:val="Page Numbers (Bottom of Page)"/>
        <w:docPartUnique/>
      </w:docPartObj>
    </w:sdtPr>
    <w:sdtEndPr/>
    <w:sdtContent>
      <w:p w14:paraId="1CF9A528" w14:textId="77777777" w:rsidR="004604E2" w:rsidRDefault="004604E2" w:rsidP="00653641">
        <w:pPr>
          <w:pStyle w:val="Footer"/>
        </w:pPr>
        <w:r>
          <w:fldChar w:fldCharType="begin"/>
        </w:r>
        <w:r>
          <w:instrText xml:space="preserve"> PAGE </w:instrText>
        </w:r>
        <w:r>
          <w:fldChar w:fldCharType="end"/>
        </w:r>
      </w:p>
    </w:sdtContent>
  </w:sdt>
  <w:p w14:paraId="3041A6E8" w14:textId="77777777" w:rsidR="006E0192" w:rsidRDefault="006E0192" w:rsidP="00653641">
    <w:pPr>
      <w:pStyle w:val="Footer"/>
    </w:pPr>
  </w:p>
  <w:p w14:paraId="61ACE5AD" w14:textId="77777777" w:rsidR="006F13D5" w:rsidRDefault="006F13D5" w:rsidP="00653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419D" w14:textId="1C9889AA" w:rsidR="00B71CCD" w:rsidRDefault="00842477" w:rsidP="00842477">
    <w:pPr>
      <w:pStyle w:val="Footer"/>
      <w:spacing w:before="480"/>
      <w:ind w:right="11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BE6C4" wp14:editId="4F80B7C2">
              <wp:simplePos x="0" y="0"/>
              <wp:positionH relativeFrom="column">
                <wp:posOffset>0</wp:posOffset>
              </wp:positionH>
              <wp:positionV relativeFrom="paragraph">
                <wp:posOffset>41275</wp:posOffset>
              </wp:positionV>
              <wp:extent cx="6402705" cy="0"/>
              <wp:effectExtent l="0" t="0" r="10795" b="1270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2705" cy="0"/>
                      </a:xfrm>
                      <a:prstGeom prst="line">
                        <a:avLst/>
                      </a:prstGeom>
                      <a:ln w="6350"/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AA35081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25pt" to="504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" strokecolor="#002664 [3204]" strokeweight=".5pt"/>
          </w:pict>
        </mc:Fallback>
      </mc:AlternateContent>
    </w:r>
    <w:r w:rsidR="00225A50">
      <w:t>Mandatory Disease Testing Act 2021: workers</w:t>
    </w:r>
    <w:r w:rsidRPr="00552F70">
      <w:ptab w:relativeTo="margin" w:alignment="center" w:leader="none"/>
    </w:r>
    <w:r w:rsidRPr="00552F70">
      <w:ptab w:relativeTo="margin" w:alignment="right" w:leader="none"/>
    </w:r>
    <w:r w:rsidR="00225A50">
      <w:t>July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8DC6" w14:textId="74940024" w:rsidR="00311886" w:rsidRDefault="00311886" w:rsidP="00311886">
    <w:pPr>
      <w:pStyle w:val="Footer"/>
      <w:spacing w:before="480"/>
      <w:ind w:right="119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72CD73" wp14:editId="7F409C66">
              <wp:simplePos x="0" y="0"/>
              <wp:positionH relativeFrom="column">
                <wp:posOffset>0</wp:posOffset>
              </wp:positionH>
              <wp:positionV relativeFrom="paragraph">
                <wp:posOffset>41275</wp:posOffset>
              </wp:positionV>
              <wp:extent cx="6402705" cy="0"/>
              <wp:effectExtent l="0" t="0" r="10795" b="1270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2705" cy="0"/>
                      </a:xfrm>
                      <a:prstGeom prst="line">
                        <a:avLst/>
                      </a:prstGeom>
                      <a:ln w="6350"/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3E2F0C8" id="Straight Connector 4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25pt" to="504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" strokecolor="#002664 [3204]" strokeweight=".5pt"/>
          </w:pict>
        </mc:Fallback>
      </mc:AlternateContent>
    </w:r>
    <w:r w:rsidR="00225A50">
      <w:t>Mandatory Disease Testing Act 2021: workers</w:t>
    </w:r>
    <w:r w:rsidRPr="00552F70">
      <w:ptab w:relativeTo="margin" w:alignment="center" w:leader="none"/>
    </w:r>
    <w:r w:rsidRPr="00552F70">
      <w:ptab w:relativeTo="margin" w:alignment="right" w:leader="none"/>
    </w:r>
    <w:r w:rsidR="00225A50"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1A29" w14:textId="77777777" w:rsidR="00DB6B5C" w:rsidRDefault="00DB6B5C" w:rsidP="00D41211">
      <w:r>
        <w:separator/>
      </w:r>
    </w:p>
  </w:footnote>
  <w:footnote w:type="continuationSeparator" w:id="0">
    <w:p w14:paraId="28C0644A" w14:textId="77777777" w:rsidR="00DB6B5C" w:rsidRDefault="00DB6B5C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857D" w14:textId="18B82408" w:rsidR="002A72C9" w:rsidRDefault="002A72C9" w:rsidP="002A72C9">
    <w:pPr>
      <w:ind w:right="-1709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F819923" wp14:editId="3B94CD6B">
              <wp:simplePos x="0" y="0"/>
              <wp:positionH relativeFrom="column">
                <wp:posOffset>-683895</wp:posOffset>
              </wp:positionH>
              <wp:positionV relativeFrom="paragraph">
                <wp:posOffset>-703171</wp:posOffset>
              </wp:positionV>
              <wp:extent cx="7778115" cy="2851785"/>
              <wp:effectExtent l="0" t="0" r="0" b="5715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8115" cy="285178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D9E66D" id="Rectangle 8" o:spid="_x0000_s1026" alt="&quot;&quot;" style="position:absolute;margin-left:-53.85pt;margin-top:-55.35pt;width:612.45pt;height:224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" fillcolor="#cbedfd [3205]" stroked="f"/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7D8C7AE" wp14:editId="182B7DE5">
              <wp:extent cx="5610386" cy="898396"/>
              <wp:effectExtent l="0" t="0" r="0" b="0"/>
              <wp:docPr id="7" name="Text Box 7" descr="Communities and Justic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386" cy="8983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D60675" w14:textId="77777777" w:rsidR="002A72C9" w:rsidRPr="002C7C6A" w:rsidRDefault="002A72C9" w:rsidP="002A72C9">
                          <w:pPr>
                            <w:ind w:left="-142"/>
                            <w:rPr>
                              <w:rFonts w:ascii="Public Sans SemiBold" w:hAnsi="Public Sans SemiBold"/>
                              <w:b/>
                              <w:bCs/>
                              <w:color w:val="002664" w:themeColor="background2"/>
                              <w:sz w:val="28"/>
                              <w:szCs w:val="28"/>
                            </w:rPr>
                          </w:pPr>
                          <w:r w:rsidRPr="002C7C6A">
                            <w:rPr>
                              <w:rFonts w:ascii="Public Sans SemiBold" w:hAnsi="Public Sans SemiBold"/>
                              <w:b/>
                              <w:bCs/>
                              <w:color w:val="002664" w:themeColor="background2"/>
                              <w:sz w:val="28"/>
                              <w:szCs w:val="28"/>
                            </w:rPr>
                            <w:t>Communities and Justice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7D8C7A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Communities and Justice" style="width:441.75pt;height:7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" filled="f" stroked="f" strokeweight=".5pt">
              <v:textbox>
                <w:txbxContent>
                  <w:p w14:paraId="62D60675" w14:textId="77777777" w:rsidR="002A72C9" w:rsidRPr="002C7C6A" w:rsidRDefault="002A72C9" w:rsidP="002A72C9">
                    <w:pPr>
                      <w:ind w:left="-142"/>
                      <w:rPr>
                        <w:rFonts w:ascii="Public Sans SemiBold" w:hAnsi="Public Sans SemiBold"/>
                        <w:b/>
                        <w:bCs/>
                        <w:color w:val="002664" w:themeColor="background2"/>
                        <w:sz w:val="28"/>
                        <w:szCs w:val="28"/>
                      </w:rPr>
                    </w:pPr>
                    <w:r w:rsidRPr="002C7C6A">
                      <w:rPr>
                        <w:rFonts w:ascii="Public Sans SemiBold" w:hAnsi="Public Sans SemiBold"/>
                        <w:b/>
                        <w:bCs/>
                        <w:color w:val="002664" w:themeColor="background2"/>
                        <w:sz w:val="28"/>
                        <w:szCs w:val="28"/>
                      </w:rPr>
                      <w:t>Communities and Justice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rFonts w:ascii="Times New Roman" w:hAnsi="Times New Roman"/>
        <w:noProof/>
        <w:color w:val="auto"/>
        <w:sz w:val="24"/>
        <w:lang w:eastAsia="en-GB"/>
      </w:rPr>
      <w:drawing>
        <wp:inline distT="0" distB="0" distL="0" distR="0" wp14:anchorId="1B32AB66" wp14:editId="01E62CC5">
          <wp:extent cx="828000" cy="900000"/>
          <wp:effectExtent l="0" t="0" r="0" b="1905"/>
          <wp:docPr id="9" name="Picture 9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SW Government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040315" w14:textId="3CEA8523" w:rsidR="00F26CB3" w:rsidRDefault="00225A50" w:rsidP="00225A50">
    <w:pPr>
      <w:pStyle w:val="Heading2"/>
    </w:pPr>
    <w:r w:rsidRPr="00225A50">
      <w:rPr>
        <w:b/>
        <w:bCs/>
      </w:rPr>
      <w:t>Mandatory Disease Testing Act 2021</w:t>
    </w:r>
    <w:r>
      <w:br/>
      <w:t>Information for workers</w:t>
    </w:r>
  </w:p>
  <w:p w14:paraId="339F502A" w14:textId="3FF6F5F3" w:rsidR="00311886" w:rsidRDefault="002A72C9" w:rsidP="002A72C9">
    <w:r>
      <w:rPr>
        <w:noProof/>
      </w:rPr>
      <mc:AlternateContent>
        <mc:Choice Requires="wps">
          <w:drawing>
            <wp:inline distT="0" distB="0" distL="0" distR="0" wp14:anchorId="76502455" wp14:editId="1BA7C063">
              <wp:extent cx="6431500" cy="0"/>
              <wp:effectExtent l="0" t="0" r="7620" b="12700"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15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oel="http://schemas.microsoft.com/office/2019/extlst">
          <w:pict>
            <v:line w14:anchorId="2DD6B3CB" id="Straight Connector 1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" strokecolor="#002664 [3214]" strokeweight=".5pt">
              <w10:anchorlock/>
            </v:line>
          </w:pict>
        </mc:Fallback>
      </mc:AlternateContent>
    </w:r>
  </w:p>
  <w:p w14:paraId="112DD6E1" w14:textId="269930A2" w:rsidR="002A72C9" w:rsidRDefault="002A72C9" w:rsidP="002A7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336C" w14:textId="77777777" w:rsidR="00772FE9" w:rsidRDefault="00772FE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165D0E" wp14:editId="2CFC91D1">
              <wp:simplePos x="0" y="0"/>
              <wp:positionH relativeFrom="column">
                <wp:posOffset>-683895</wp:posOffset>
              </wp:positionH>
              <wp:positionV relativeFrom="paragraph">
                <wp:posOffset>-504190</wp:posOffset>
              </wp:positionV>
              <wp:extent cx="7778115" cy="3096000"/>
              <wp:effectExtent l="0" t="0" r="0" b="3175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8115" cy="3096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8024B4F" id="Rectangle 6" o:spid="_x0000_s1026" alt="&quot;&quot;" style="position:absolute;margin-left:-53.85pt;margin-top:-39.7pt;width:612.45pt;height:24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" fillcolor="#cbedfd [3205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BCAE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CFAB5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88488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CE239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FE6C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5B402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146C6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B2C97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7A20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2624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382129"/>
    <w:multiLevelType w:val="hybridMultilevel"/>
    <w:tmpl w:val="CB34223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06EC3FED"/>
    <w:multiLevelType w:val="hybridMultilevel"/>
    <w:tmpl w:val="64164042"/>
    <w:lvl w:ilvl="0" w:tplc="9C7CE5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338C5"/>
    <w:multiLevelType w:val="hybridMultilevel"/>
    <w:tmpl w:val="1480BAB6"/>
    <w:lvl w:ilvl="0" w:tplc="04090005">
      <w:start w:val="1"/>
      <w:numFmt w:val="bullet"/>
      <w:lvlText w:val="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A70BE"/>
    <w:multiLevelType w:val="multilevel"/>
    <w:tmpl w:val="170C81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asciiTheme="minorHAnsi" w:hAnsiTheme="minorHAnsi"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asciiTheme="minorHAnsi" w:hAnsiTheme="minorHAns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B13FE"/>
    <w:multiLevelType w:val="hybridMultilevel"/>
    <w:tmpl w:val="5068F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8105B"/>
    <w:multiLevelType w:val="hybridMultilevel"/>
    <w:tmpl w:val="214222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2A23BC">
      <w:numFmt w:val="bullet"/>
      <w:lvlText w:val="•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E35DD1"/>
    <w:multiLevelType w:val="hybridMultilevel"/>
    <w:tmpl w:val="832CBDD0"/>
    <w:lvl w:ilvl="0" w:tplc="60180050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002664" w:themeColor="accent1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C06BB"/>
    <w:multiLevelType w:val="hybridMultilevel"/>
    <w:tmpl w:val="ACF6DDA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7883D19"/>
    <w:multiLevelType w:val="hybridMultilevel"/>
    <w:tmpl w:val="782CC710"/>
    <w:lvl w:ilvl="0" w:tplc="3558BF82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509DC"/>
    <w:multiLevelType w:val="hybridMultilevel"/>
    <w:tmpl w:val="E4F89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46474"/>
    <w:multiLevelType w:val="hybridMultilevel"/>
    <w:tmpl w:val="39C6F420"/>
    <w:lvl w:ilvl="0" w:tplc="2244F880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A565F"/>
    <w:multiLevelType w:val="hybridMultilevel"/>
    <w:tmpl w:val="7A745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i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9893C85"/>
    <w:multiLevelType w:val="hybridMultilevel"/>
    <w:tmpl w:val="11E4DB0C"/>
    <w:lvl w:ilvl="0" w:tplc="5C8825B6">
      <w:start w:val="1"/>
      <w:numFmt w:val="bullet"/>
      <w:lvlText w:val="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95171"/>
    <w:multiLevelType w:val="hybridMultilevel"/>
    <w:tmpl w:val="6770B5EC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C0FF3"/>
    <w:multiLevelType w:val="hybridMultilevel"/>
    <w:tmpl w:val="3E9AE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0"/>
  </w:num>
  <w:num w:numId="4">
    <w:abstractNumId w:val="26"/>
  </w:num>
  <w:num w:numId="5">
    <w:abstractNumId w:val="29"/>
  </w:num>
  <w:num w:numId="6">
    <w:abstractNumId w:val="12"/>
  </w:num>
  <w:num w:numId="7">
    <w:abstractNumId w:val="33"/>
  </w:num>
  <w:num w:numId="8">
    <w:abstractNumId w:val="24"/>
  </w:num>
  <w:num w:numId="9">
    <w:abstractNumId w:val="15"/>
  </w:num>
  <w:num w:numId="10">
    <w:abstractNumId w:val="22"/>
  </w:num>
  <w:num w:numId="11">
    <w:abstractNumId w:val="34"/>
  </w:num>
  <w:num w:numId="12">
    <w:abstractNumId w:val="16"/>
  </w:num>
  <w:num w:numId="13">
    <w:abstractNumId w:val="27"/>
  </w:num>
  <w:num w:numId="14">
    <w:abstractNumId w:val="13"/>
  </w:num>
  <w:num w:numId="15">
    <w:abstractNumId w:val="31"/>
  </w:num>
  <w:num w:numId="16">
    <w:abstractNumId w:val="14"/>
  </w:num>
  <w:num w:numId="17">
    <w:abstractNumId w:val="30"/>
  </w:num>
  <w:num w:numId="18">
    <w:abstractNumId w:val="20"/>
  </w:num>
  <w:num w:numId="19">
    <w:abstractNumId w:val="19"/>
  </w:num>
  <w:num w:numId="20">
    <w:abstractNumId w:val="25"/>
  </w:num>
  <w:num w:numId="21">
    <w:abstractNumId w:val="35"/>
  </w:num>
  <w:num w:numId="22">
    <w:abstractNumId w:val="10"/>
  </w:num>
  <w:num w:numId="23">
    <w:abstractNumId w:val="8"/>
  </w:num>
  <w:num w:numId="24">
    <w:abstractNumId w:val="7"/>
  </w:num>
  <w:num w:numId="25">
    <w:abstractNumId w:val="6"/>
  </w:num>
  <w:num w:numId="26">
    <w:abstractNumId w:val="5"/>
  </w:num>
  <w:num w:numId="27">
    <w:abstractNumId w:val="9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10"/>
  </w:num>
  <w:num w:numId="33">
    <w:abstractNumId w:val="23"/>
  </w:num>
  <w:num w:numId="34">
    <w:abstractNumId w:val="28"/>
  </w:num>
  <w:num w:numId="35">
    <w:abstractNumId w:val="11"/>
  </w:num>
  <w:num w:numId="36">
    <w:abstractNumId w:val="3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C9"/>
    <w:rsid w:val="00006334"/>
    <w:rsid w:val="00015100"/>
    <w:rsid w:val="00023061"/>
    <w:rsid w:val="0005611F"/>
    <w:rsid w:val="00063FED"/>
    <w:rsid w:val="00066408"/>
    <w:rsid w:val="000702C2"/>
    <w:rsid w:val="0008164E"/>
    <w:rsid w:val="00087332"/>
    <w:rsid w:val="000A4C8F"/>
    <w:rsid w:val="000A5BD7"/>
    <w:rsid w:val="000A69B9"/>
    <w:rsid w:val="000B288B"/>
    <w:rsid w:val="000C72D7"/>
    <w:rsid w:val="000D3040"/>
    <w:rsid w:val="000D4A19"/>
    <w:rsid w:val="000E3FAE"/>
    <w:rsid w:val="000F26C8"/>
    <w:rsid w:val="0010445F"/>
    <w:rsid w:val="00127199"/>
    <w:rsid w:val="001315B6"/>
    <w:rsid w:val="00131B67"/>
    <w:rsid w:val="001348C7"/>
    <w:rsid w:val="0015636B"/>
    <w:rsid w:val="00162FBB"/>
    <w:rsid w:val="00174150"/>
    <w:rsid w:val="00181CC8"/>
    <w:rsid w:val="001A2DF0"/>
    <w:rsid w:val="001A4B22"/>
    <w:rsid w:val="001B1470"/>
    <w:rsid w:val="001B4C4E"/>
    <w:rsid w:val="001B6BC4"/>
    <w:rsid w:val="001C34E2"/>
    <w:rsid w:val="001D46D2"/>
    <w:rsid w:val="001F4C9C"/>
    <w:rsid w:val="00203E7E"/>
    <w:rsid w:val="0020481B"/>
    <w:rsid w:val="00225A50"/>
    <w:rsid w:val="00235E84"/>
    <w:rsid w:val="00243948"/>
    <w:rsid w:val="00243A7A"/>
    <w:rsid w:val="0024587F"/>
    <w:rsid w:val="00245A62"/>
    <w:rsid w:val="0024648F"/>
    <w:rsid w:val="00250B08"/>
    <w:rsid w:val="00264C15"/>
    <w:rsid w:val="002A72C9"/>
    <w:rsid w:val="002B3F09"/>
    <w:rsid w:val="002B782D"/>
    <w:rsid w:val="002C03EB"/>
    <w:rsid w:val="002C15EA"/>
    <w:rsid w:val="002D6697"/>
    <w:rsid w:val="002E6A76"/>
    <w:rsid w:val="00307D62"/>
    <w:rsid w:val="00311886"/>
    <w:rsid w:val="00313BCC"/>
    <w:rsid w:val="00313CD9"/>
    <w:rsid w:val="00321C75"/>
    <w:rsid w:val="00343904"/>
    <w:rsid w:val="00350BAF"/>
    <w:rsid w:val="00353B45"/>
    <w:rsid w:val="00367FD9"/>
    <w:rsid w:val="003767F6"/>
    <w:rsid w:val="003775E4"/>
    <w:rsid w:val="0038426E"/>
    <w:rsid w:val="00385730"/>
    <w:rsid w:val="003D37A5"/>
    <w:rsid w:val="003F31C2"/>
    <w:rsid w:val="00400C38"/>
    <w:rsid w:val="00403D14"/>
    <w:rsid w:val="0041092E"/>
    <w:rsid w:val="0042217C"/>
    <w:rsid w:val="00455580"/>
    <w:rsid w:val="004566DC"/>
    <w:rsid w:val="00457AE2"/>
    <w:rsid w:val="004604E2"/>
    <w:rsid w:val="004637C4"/>
    <w:rsid w:val="004742EC"/>
    <w:rsid w:val="0048494C"/>
    <w:rsid w:val="00485270"/>
    <w:rsid w:val="00494822"/>
    <w:rsid w:val="004A2A31"/>
    <w:rsid w:val="004A559C"/>
    <w:rsid w:val="004A6195"/>
    <w:rsid w:val="004B1356"/>
    <w:rsid w:val="004B2B3B"/>
    <w:rsid w:val="004B68D2"/>
    <w:rsid w:val="004C0984"/>
    <w:rsid w:val="004E51E7"/>
    <w:rsid w:val="004F58C7"/>
    <w:rsid w:val="0051555F"/>
    <w:rsid w:val="00533C57"/>
    <w:rsid w:val="00540668"/>
    <w:rsid w:val="005462A2"/>
    <w:rsid w:val="00552F70"/>
    <w:rsid w:val="0058225B"/>
    <w:rsid w:val="00592886"/>
    <w:rsid w:val="005A0E18"/>
    <w:rsid w:val="005A283B"/>
    <w:rsid w:val="005C574F"/>
    <w:rsid w:val="005D65D3"/>
    <w:rsid w:val="005F46C1"/>
    <w:rsid w:val="00604F36"/>
    <w:rsid w:val="00612F7B"/>
    <w:rsid w:val="006221BD"/>
    <w:rsid w:val="006237F0"/>
    <w:rsid w:val="006314ED"/>
    <w:rsid w:val="00640B67"/>
    <w:rsid w:val="00645E64"/>
    <w:rsid w:val="00653107"/>
    <w:rsid w:val="00653641"/>
    <w:rsid w:val="0066323D"/>
    <w:rsid w:val="00663CF2"/>
    <w:rsid w:val="00664DFD"/>
    <w:rsid w:val="006675F1"/>
    <w:rsid w:val="006709A3"/>
    <w:rsid w:val="00675E8A"/>
    <w:rsid w:val="00676DDD"/>
    <w:rsid w:val="00687F99"/>
    <w:rsid w:val="00696FA6"/>
    <w:rsid w:val="006B2EE0"/>
    <w:rsid w:val="006C43F2"/>
    <w:rsid w:val="006C50BF"/>
    <w:rsid w:val="006E0192"/>
    <w:rsid w:val="006E320C"/>
    <w:rsid w:val="006E4D11"/>
    <w:rsid w:val="006E7E80"/>
    <w:rsid w:val="006F13D5"/>
    <w:rsid w:val="00711B59"/>
    <w:rsid w:val="0072061B"/>
    <w:rsid w:val="00761A83"/>
    <w:rsid w:val="0076331D"/>
    <w:rsid w:val="00772FE9"/>
    <w:rsid w:val="007734A3"/>
    <w:rsid w:val="0078225F"/>
    <w:rsid w:val="00794EA4"/>
    <w:rsid w:val="007A3227"/>
    <w:rsid w:val="007B43C1"/>
    <w:rsid w:val="007C7B08"/>
    <w:rsid w:val="007F3808"/>
    <w:rsid w:val="007F73EF"/>
    <w:rsid w:val="0080004C"/>
    <w:rsid w:val="00814D66"/>
    <w:rsid w:val="00816BDA"/>
    <w:rsid w:val="00823B48"/>
    <w:rsid w:val="00831635"/>
    <w:rsid w:val="008378A0"/>
    <w:rsid w:val="00840577"/>
    <w:rsid w:val="00842477"/>
    <w:rsid w:val="008473DD"/>
    <w:rsid w:val="00852E36"/>
    <w:rsid w:val="00865FB6"/>
    <w:rsid w:val="00881275"/>
    <w:rsid w:val="008818D0"/>
    <w:rsid w:val="00887292"/>
    <w:rsid w:val="008962C9"/>
    <w:rsid w:val="00896687"/>
    <w:rsid w:val="008A13C4"/>
    <w:rsid w:val="008A1E24"/>
    <w:rsid w:val="008A205E"/>
    <w:rsid w:val="008A48D4"/>
    <w:rsid w:val="008A5D20"/>
    <w:rsid w:val="008A655F"/>
    <w:rsid w:val="008A6B24"/>
    <w:rsid w:val="008B18C1"/>
    <w:rsid w:val="008B1CA4"/>
    <w:rsid w:val="008D2060"/>
    <w:rsid w:val="008D7B98"/>
    <w:rsid w:val="008E04FB"/>
    <w:rsid w:val="0090147B"/>
    <w:rsid w:val="0092064D"/>
    <w:rsid w:val="009252DE"/>
    <w:rsid w:val="00930B0F"/>
    <w:rsid w:val="00940674"/>
    <w:rsid w:val="0094672B"/>
    <w:rsid w:val="00971518"/>
    <w:rsid w:val="00973606"/>
    <w:rsid w:val="00991DCE"/>
    <w:rsid w:val="009978E0"/>
    <w:rsid w:val="009A0B75"/>
    <w:rsid w:val="009B19FF"/>
    <w:rsid w:val="009B2969"/>
    <w:rsid w:val="009D57CB"/>
    <w:rsid w:val="009F16BD"/>
    <w:rsid w:val="00A03CDA"/>
    <w:rsid w:val="00A15206"/>
    <w:rsid w:val="00A33EBC"/>
    <w:rsid w:val="00A41FA1"/>
    <w:rsid w:val="00A42DCB"/>
    <w:rsid w:val="00A42EAC"/>
    <w:rsid w:val="00A45656"/>
    <w:rsid w:val="00A47B37"/>
    <w:rsid w:val="00A53FE1"/>
    <w:rsid w:val="00A56782"/>
    <w:rsid w:val="00A57256"/>
    <w:rsid w:val="00A6218F"/>
    <w:rsid w:val="00A920E2"/>
    <w:rsid w:val="00A93D32"/>
    <w:rsid w:val="00A96F8D"/>
    <w:rsid w:val="00AC6ADE"/>
    <w:rsid w:val="00AD21CA"/>
    <w:rsid w:val="00B02E5C"/>
    <w:rsid w:val="00B21CD3"/>
    <w:rsid w:val="00B22DED"/>
    <w:rsid w:val="00B4578E"/>
    <w:rsid w:val="00B53332"/>
    <w:rsid w:val="00B71CCD"/>
    <w:rsid w:val="00B83AD8"/>
    <w:rsid w:val="00B853DD"/>
    <w:rsid w:val="00B97689"/>
    <w:rsid w:val="00BA3754"/>
    <w:rsid w:val="00BA5095"/>
    <w:rsid w:val="00BA5360"/>
    <w:rsid w:val="00BA71CC"/>
    <w:rsid w:val="00BA73E0"/>
    <w:rsid w:val="00BA7C94"/>
    <w:rsid w:val="00BB6515"/>
    <w:rsid w:val="00BC18C1"/>
    <w:rsid w:val="00BD24D4"/>
    <w:rsid w:val="00BF15F4"/>
    <w:rsid w:val="00BF7B23"/>
    <w:rsid w:val="00C16EAC"/>
    <w:rsid w:val="00C21667"/>
    <w:rsid w:val="00C35921"/>
    <w:rsid w:val="00C37B1A"/>
    <w:rsid w:val="00C42B1C"/>
    <w:rsid w:val="00C45CDE"/>
    <w:rsid w:val="00C466A9"/>
    <w:rsid w:val="00C51C71"/>
    <w:rsid w:val="00C53522"/>
    <w:rsid w:val="00C54A56"/>
    <w:rsid w:val="00C61E5B"/>
    <w:rsid w:val="00C806B6"/>
    <w:rsid w:val="00C9014B"/>
    <w:rsid w:val="00CA10D2"/>
    <w:rsid w:val="00CB4CA9"/>
    <w:rsid w:val="00CB7028"/>
    <w:rsid w:val="00CC35CF"/>
    <w:rsid w:val="00CC4C8E"/>
    <w:rsid w:val="00CC52B7"/>
    <w:rsid w:val="00CC7365"/>
    <w:rsid w:val="00CD40A0"/>
    <w:rsid w:val="00CD4EA7"/>
    <w:rsid w:val="00CF3698"/>
    <w:rsid w:val="00CF4D55"/>
    <w:rsid w:val="00CF604D"/>
    <w:rsid w:val="00D01D99"/>
    <w:rsid w:val="00D06641"/>
    <w:rsid w:val="00D0798C"/>
    <w:rsid w:val="00D203E7"/>
    <w:rsid w:val="00D24310"/>
    <w:rsid w:val="00D41211"/>
    <w:rsid w:val="00D43AA6"/>
    <w:rsid w:val="00D57023"/>
    <w:rsid w:val="00D6064F"/>
    <w:rsid w:val="00D650AC"/>
    <w:rsid w:val="00D71EB9"/>
    <w:rsid w:val="00D85A92"/>
    <w:rsid w:val="00D85CD0"/>
    <w:rsid w:val="00DA2099"/>
    <w:rsid w:val="00DA36A7"/>
    <w:rsid w:val="00DB6B5C"/>
    <w:rsid w:val="00DF2789"/>
    <w:rsid w:val="00DF2B87"/>
    <w:rsid w:val="00E16B00"/>
    <w:rsid w:val="00E20B4A"/>
    <w:rsid w:val="00E25B95"/>
    <w:rsid w:val="00E44DE7"/>
    <w:rsid w:val="00E475E0"/>
    <w:rsid w:val="00E60A05"/>
    <w:rsid w:val="00E76C22"/>
    <w:rsid w:val="00EA013F"/>
    <w:rsid w:val="00EA2677"/>
    <w:rsid w:val="00EA3AD0"/>
    <w:rsid w:val="00EA6981"/>
    <w:rsid w:val="00EB01FE"/>
    <w:rsid w:val="00ED0A3B"/>
    <w:rsid w:val="00ED17D3"/>
    <w:rsid w:val="00ED6312"/>
    <w:rsid w:val="00F01DE7"/>
    <w:rsid w:val="00F172A3"/>
    <w:rsid w:val="00F26CB3"/>
    <w:rsid w:val="00F32E0C"/>
    <w:rsid w:val="00F34BC3"/>
    <w:rsid w:val="00F41E11"/>
    <w:rsid w:val="00F4292C"/>
    <w:rsid w:val="00F468C2"/>
    <w:rsid w:val="00F5417E"/>
    <w:rsid w:val="00F5565C"/>
    <w:rsid w:val="00F61F22"/>
    <w:rsid w:val="00F8737E"/>
    <w:rsid w:val="00F87A78"/>
    <w:rsid w:val="00F96E6D"/>
    <w:rsid w:val="00FC4B65"/>
    <w:rsid w:val="00FD2FD9"/>
    <w:rsid w:val="00FE18AB"/>
    <w:rsid w:val="00FE4E44"/>
    <w:rsid w:val="00FF07ED"/>
    <w:rsid w:val="00FF1EBF"/>
    <w:rsid w:val="00FF3145"/>
    <w:rsid w:val="00FF44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5028C2"/>
  <w15:docId w15:val="{D96418EC-F69B-8644-977A-B3FF2AC5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2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FD2FD9"/>
    <w:pPr>
      <w:spacing w:after="180"/>
    </w:pPr>
    <w:rPr>
      <w:rFonts w:asciiTheme="minorHAnsi" w:eastAsiaTheme="minorEastAsia" w:hAnsiTheme="minorHAnsi"/>
      <w:color w:val="22272B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CC52B7"/>
    <w:pPr>
      <w:widowControl w:val="0"/>
      <w:suppressAutoHyphens/>
      <w:autoSpaceDE w:val="0"/>
      <w:autoSpaceDN w:val="0"/>
      <w:adjustRightInd w:val="0"/>
      <w:spacing w:before="600" w:after="120"/>
      <w:ind w:right="119"/>
      <w:textAlignment w:val="center"/>
      <w:outlineLvl w:val="0"/>
    </w:pPr>
    <w:rPr>
      <w:rFonts w:asciiTheme="majorHAnsi" w:hAnsiTheme="majorHAnsi" w:cs="Arial"/>
      <w:bCs/>
      <w:noProof/>
      <w:color w:val="002664" w:themeColor="accent1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qFormat/>
    <w:rsid w:val="00604F36"/>
    <w:pPr>
      <w:widowControl w:val="0"/>
      <w:suppressAutoHyphens/>
      <w:autoSpaceDE w:val="0"/>
      <w:autoSpaceDN w:val="0"/>
      <w:adjustRightInd w:val="0"/>
      <w:spacing w:before="480" w:after="120"/>
      <w:ind w:right="119"/>
      <w:textAlignment w:val="center"/>
      <w:outlineLvl w:val="1"/>
    </w:pPr>
    <w:rPr>
      <w:rFonts w:asciiTheme="majorHAnsi" w:hAnsiTheme="majorHAnsi" w:cs="ArialMT"/>
      <w:color w:val="002664" w:themeColor="accent1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rsid w:val="00FD2FD9"/>
    <w:pPr>
      <w:keepNext/>
      <w:keepLines/>
      <w:spacing w:before="240" w:after="120"/>
      <w:ind w:right="118"/>
      <w:outlineLvl w:val="2"/>
    </w:pPr>
    <w:rPr>
      <w:rFonts w:ascii="Public Sans SemiBold" w:eastAsia="Times New Roman" w:hAnsi="Public Sans SemiBold"/>
      <w:b/>
      <w:bCs/>
      <w:color w:val="002664" w:themeColor="background2"/>
      <w:lang w:val="en-GB"/>
    </w:rPr>
  </w:style>
  <w:style w:type="paragraph" w:styleId="Heading4">
    <w:name w:val="heading 4"/>
    <w:basedOn w:val="Heading1"/>
    <w:next w:val="Normal"/>
    <w:link w:val="Heading4Char"/>
    <w:autoRedefine/>
    <w:rsid w:val="002C03EB"/>
    <w:pPr>
      <w:spacing w:before="0"/>
      <w:ind w:right="-1077"/>
      <w:outlineLvl w:val="3"/>
    </w:pPr>
    <w:rPr>
      <w:rFonts w:ascii="Public Sans" w:hAnsi="Public Sans"/>
      <w:bCs w:val="0"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rsid w:val="006314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2B7"/>
    <w:rPr>
      <w:rFonts w:asciiTheme="majorHAnsi" w:eastAsiaTheme="minorEastAsia" w:hAnsiTheme="majorHAnsi" w:cs="Arial"/>
      <w:bCs/>
      <w:noProof/>
      <w:color w:val="002664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604F36"/>
    <w:rPr>
      <w:rFonts w:asciiTheme="majorHAnsi" w:eastAsiaTheme="minorEastAsia" w:hAnsiTheme="majorHAnsi" w:cs="ArialMT"/>
      <w:color w:val="002664" w:themeColor="accent1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E16B0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16B00"/>
    <w:rPr>
      <w:rFonts w:eastAsiaTheme="minorEastAsia"/>
      <w:color w:val="22272B" w:themeColor="text1"/>
      <w:sz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653641"/>
    <w:pPr>
      <w:tabs>
        <w:tab w:val="left" w:pos="6804"/>
      </w:tabs>
      <w:spacing w:before="120"/>
      <w:ind w:right="118"/>
    </w:pPr>
    <w:rPr>
      <w:rFonts w:ascii="Public Sans" w:hAnsi="Public Sans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53641"/>
    <w:rPr>
      <w:rFonts w:ascii="Public Sans" w:eastAsiaTheme="minorEastAsia" w:hAnsi="Public Sans"/>
      <w:color w:val="22272B" w:themeColor="text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A53FE1"/>
    <w:pPr>
      <w:suppressAutoHyphens/>
      <w:autoSpaceDE w:val="0"/>
      <w:autoSpaceDN w:val="0"/>
      <w:adjustRightInd w:val="0"/>
      <w:spacing w:before="120" w:after="120" w:line="276" w:lineRule="auto"/>
      <w:ind w:right="119"/>
      <w:textAlignment w:val="center"/>
    </w:pPr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rsid w:val="00A53FE1"/>
    <w:rPr>
      <w:rFonts w:asciiTheme="minorHAnsi" w:eastAsiaTheme="minorEastAsia" w:hAnsiTheme="minorHAnsi" w:cs="Arial"/>
      <w:color w:val="22272B" w:themeColor="text1"/>
      <w:sz w:val="22"/>
      <w:szCs w:val="20"/>
    </w:rPr>
  </w:style>
  <w:style w:type="paragraph" w:customStyle="1" w:styleId="Bullet1">
    <w:name w:val="Bullet 1"/>
    <w:basedOn w:val="BodyText"/>
    <w:autoRedefine/>
    <w:qFormat/>
    <w:rsid w:val="00E16B00"/>
    <w:pPr>
      <w:numPr>
        <w:numId w:val="6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087332"/>
    <w:pPr>
      <w:numPr>
        <w:numId w:val="8"/>
      </w:numPr>
      <w:spacing w:before="120" w:after="120"/>
    </w:pPr>
    <w:rPr>
      <w:rFonts w:cs="ArialMT"/>
      <w:color w:val="000000"/>
    </w:rPr>
  </w:style>
  <w:style w:type="character" w:customStyle="1" w:styleId="Heading3Char">
    <w:name w:val="Heading 3 Char"/>
    <w:basedOn w:val="DefaultParagraphFont"/>
    <w:link w:val="Heading3"/>
    <w:rsid w:val="00FD2FD9"/>
    <w:rPr>
      <w:rFonts w:ascii="Public Sans SemiBold" w:eastAsia="Times New Roman" w:hAnsi="Public Sans SemiBold"/>
      <w:b/>
      <w:bCs/>
      <w:color w:val="002664" w:themeColor="background2"/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65FB6"/>
    <w:rPr>
      <w:color w:val="22272B" w:themeColor="followedHyperlink"/>
      <w:u w:val="single"/>
    </w:rPr>
  </w:style>
  <w:style w:type="paragraph" w:customStyle="1" w:styleId="Bullet3">
    <w:name w:val="Bullet 3"/>
    <w:basedOn w:val="Normal"/>
    <w:autoRedefine/>
    <w:qFormat/>
    <w:rsid w:val="00A45656"/>
    <w:pPr>
      <w:numPr>
        <w:numId w:val="18"/>
      </w:numPr>
      <w:spacing w:before="120" w:after="120"/>
    </w:pPr>
    <w:rPr>
      <w:rFonts w:cs="Arial"/>
      <w:szCs w:val="20"/>
    </w:rPr>
  </w:style>
  <w:style w:type="character" w:styleId="PlaceholderText">
    <w:name w:val="Placeholder Text"/>
    <w:basedOn w:val="DefaultParagraphFont"/>
    <w:uiPriority w:val="99"/>
    <w:semiHidden/>
    <w:rsid w:val="005C574F"/>
    <w:rPr>
      <w:color w:val="808080"/>
    </w:rPr>
  </w:style>
  <w:style w:type="paragraph" w:customStyle="1" w:styleId="Descriptor">
    <w:name w:val="Descriptor"/>
    <w:basedOn w:val="Normal"/>
    <w:autoRedefine/>
    <w:rsid w:val="00162FBB"/>
    <w:pPr>
      <w:contextualSpacing/>
    </w:pPr>
    <w:rPr>
      <w:rFonts w:ascii="Public Sans SemiBold" w:eastAsiaTheme="majorEastAsia" w:hAnsi="Public Sans SemiBold" w:cstheme="majorBidi"/>
      <w:b/>
      <w:color w:val="002664" w:themeColor="accent1"/>
      <w:spacing w:val="-5"/>
      <w:kern w:val="28"/>
      <w:sz w:val="28"/>
      <w:szCs w:val="28"/>
    </w:rPr>
  </w:style>
  <w:style w:type="paragraph" w:styleId="List">
    <w:name w:val="List"/>
    <w:basedOn w:val="Normal"/>
    <w:unhideWhenUsed/>
    <w:rsid w:val="00A45656"/>
    <w:pPr>
      <w:numPr>
        <w:numId w:val="17"/>
      </w:numPr>
      <w:spacing w:before="120" w:after="120"/>
    </w:pPr>
  </w:style>
  <w:style w:type="paragraph" w:customStyle="1" w:styleId="Lista">
    <w:name w:val="List a."/>
    <w:basedOn w:val="List"/>
    <w:rsid w:val="00A45656"/>
    <w:pPr>
      <w:numPr>
        <w:ilvl w:val="1"/>
      </w:numPr>
    </w:pPr>
  </w:style>
  <w:style w:type="paragraph" w:customStyle="1" w:styleId="Listi">
    <w:name w:val="List i."/>
    <w:basedOn w:val="Lista"/>
    <w:rsid w:val="00A45656"/>
    <w:pPr>
      <w:numPr>
        <w:ilvl w:val="2"/>
      </w:numPr>
    </w:pPr>
  </w:style>
  <w:style w:type="paragraph" w:styleId="ListParagraph">
    <w:name w:val="List Paragraph"/>
    <w:basedOn w:val="Normal"/>
    <w:uiPriority w:val="34"/>
    <w:unhideWhenUsed/>
    <w:rsid w:val="00ED0A3B"/>
  </w:style>
  <w:style w:type="character" w:styleId="Hyperlink">
    <w:name w:val="Hyperlink"/>
    <w:basedOn w:val="DefaultParagraphFont"/>
    <w:uiPriority w:val="99"/>
    <w:unhideWhenUsed/>
    <w:rsid w:val="00ED0A3B"/>
    <w:rPr>
      <w:color w:val="22272B" w:themeColor="hyperlink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6314ED"/>
    <w:rPr>
      <w:rFonts w:asciiTheme="majorHAnsi" w:eastAsiaTheme="majorEastAsia" w:hAnsiTheme="majorHAnsi" w:cstheme="majorBidi"/>
      <w:i/>
      <w:iCs/>
      <w:color w:val="001231" w:themeColor="accent1" w:themeShade="7F"/>
      <w:sz w:val="22"/>
    </w:rPr>
  </w:style>
  <w:style w:type="character" w:customStyle="1" w:styleId="Heading4Char">
    <w:name w:val="Heading 4 Char"/>
    <w:basedOn w:val="DefaultParagraphFont"/>
    <w:link w:val="Heading4"/>
    <w:rsid w:val="002C03EB"/>
    <w:rPr>
      <w:rFonts w:ascii="Public Sans" w:eastAsiaTheme="minorEastAsia" w:hAnsi="Public Sans" w:cs="Arial"/>
      <w:noProof/>
      <w:color w:val="002664" w:themeColor="accent1"/>
      <w:sz w:val="28"/>
      <w:szCs w:val="28"/>
    </w:rPr>
  </w:style>
  <w:style w:type="paragraph" w:styleId="ListBullet">
    <w:name w:val="List Bullet"/>
    <w:basedOn w:val="Normal"/>
    <w:uiPriority w:val="99"/>
    <w:unhideWhenUsed/>
    <w:rsid w:val="0024587F"/>
    <w:pPr>
      <w:tabs>
        <w:tab w:val="num" w:pos="360"/>
      </w:tabs>
      <w:spacing w:after="160" w:line="256" w:lineRule="auto"/>
      <w:ind w:left="360" w:hanging="360"/>
      <w:contextualSpacing/>
    </w:pPr>
    <w:rPr>
      <w:rFonts w:eastAsiaTheme="minorHAnsi" w:cstheme="minorBidi"/>
      <w:color w:val="auto"/>
      <w:szCs w:val="22"/>
    </w:rPr>
  </w:style>
  <w:style w:type="character" w:styleId="CommentReference">
    <w:name w:val="annotation reference"/>
    <w:basedOn w:val="DefaultParagraphFont"/>
    <w:semiHidden/>
    <w:unhideWhenUsed/>
    <w:rsid w:val="007822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22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225F"/>
    <w:rPr>
      <w:rFonts w:asciiTheme="minorHAnsi" w:eastAsiaTheme="minorEastAsia" w:hAnsiTheme="minorHAnsi"/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2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225F"/>
    <w:rPr>
      <w:rFonts w:asciiTheme="minorHAnsi" w:eastAsiaTheme="minorEastAsia" w:hAnsiTheme="minorHAnsi"/>
      <w:b/>
      <w:bCs/>
      <w:color w:val="22272B" w:themeColor="text1"/>
      <w:sz w:val="20"/>
      <w:szCs w:val="20"/>
    </w:rPr>
  </w:style>
  <w:style w:type="paragraph" w:customStyle="1" w:styleId="xmsonormal">
    <w:name w:val="x_msonormal"/>
    <w:basedOn w:val="Normal"/>
    <w:rsid w:val="009F16BD"/>
    <w:pPr>
      <w:spacing w:after="0"/>
    </w:pPr>
    <w:rPr>
      <w:rFonts w:ascii="Calibri" w:eastAsiaTheme="minorHAnsi" w:hAnsi="Calibri" w:cs="Calibri"/>
      <w:color w:val="auto"/>
      <w:szCs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F3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SWH-MDT@health.nsw.gov.au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health.nsw.gov.au/Infectious/Pages/MDT-guidelines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cj.nsw.gov.au/justice/mandatory-disease-testing-scheme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health.nsw.gov.au/Infectious/Pages/MDT-guidelines.aspx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ombo.nsw.gov.au/about-us/what-we-do/oversight-of-mandatory-disease-testing-a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Name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B9B727-DE65-AE4E-B5E6-07164BD7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5132</Characters>
  <Application>Microsoft Office Word</Application>
  <DocSecurity>4</DocSecurity>
  <Lines>119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Disease Testing Act workers factsheet</vt:lpstr>
    </vt:vector>
  </TitlesOfParts>
  <Company/>
  <LinksUpToDate>false</LinksUpToDate>
  <CharactersWithSpaces>6029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Disease Testing Act workers factsheet</dc:title>
  <dc:subject>Mandatory Disease Testing</dc:subject>
  <dc:creator>Department of Communties and Justice</dc:creator>
  <cp:keywords>Mandatory Disease Testing</cp:keywords>
  <cp:lastModifiedBy>Prudence Bramwell</cp:lastModifiedBy>
  <cp:revision>2</cp:revision>
  <cp:lastPrinted>2022-04-12T01:35:00Z</cp:lastPrinted>
  <dcterms:created xsi:type="dcterms:W3CDTF">2022-09-07T05:56:00Z</dcterms:created>
  <dcterms:modified xsi:type="dcterms:W3CDTF">2022-09-07T05:56:00Z</dcterms:modified>
  <cp:category/>
</cp:coreProperties>
</file>