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CB9C0" w14:textId="3C4DE831" w:rsidR="000C35D8" w:rsidRPr="001A3E5D" w:rsidRDefault="000C35D8" w:rsidP="001A3E5D">
      <w:pPr>
        <w:pStyle w:val="Heading1"/>
      </w:pPr>
      <w:r w:rsidRPr="001A3E5D">
        <w:t xml:space="preserve">GRS </w:t>
      </w:r>
      <w:r w:rsidR="00E4592B" w:rsidRPr="001A3E5D">
        <w:t>Model Tender Clause</w:t>
      </w:r>
      <w:r w:rsidR="00197E54" w:rsidRPr="001A3E5D">
        <w:t xml:space="preserve"> – Heightened</w:t>
      </w:r>
    </w:p>
    <w:p w14:paraId="1A3F0B51" w14:textId="7C0CF232" w:rsidR="00E0703B" w:rsidRDefault="000C35D8" w:rsidP="006E7EA0">
      <w:pPr>
        <w:rPr>
          <w:rFonts w:eastAsia="Calibri" w:cs="Arial"/>
          <w:szCs w:val="20"/>
          <w:lang w:eastAsia="zh-CN"/>
        </w:rPr>
      </w:pPr>
      <w:r w:rsidRPr="00B01353">
        <w:rPr>
          <w:rFonts w:cs="Arial"/>
          <w:b/>
          <w:bCs/>
          <w:color w:val="22272B" w:themeColor="text1"/>
        </w:rPr>
        <w:t>December 2023</w:t>
      </w:r>
      <w:r w:rsidR="00DC703D" w:rsidRPr="00B01353">
        <w:rPr>
          <w:rFonts w:cs="Arial"/>
          <w:b/>
          <w:bCs/>
          <w:color w:val="22272B" w:themeColor="text1"/>
        </w:rPr>
        <w:br/>
      </w:r>
    </w:p>
    <w:tbl>
      <w:tblPr>
        <w:tblStyle w:val="TableGrid"/>
        <w:tblW w:w="0" w:type="auto"/>
        <w:tblLook w:val="04A0" w:firstRow="1" w:lastRow="0" w:firstColumn="1" w:lastColumn="0" w:noHBand="0" w:noVBand="1"/>
      </w:tblPr>
      <w:tblGrid>
        <w:gridCol w:w="9038"/>
      </w:tblGrid>
      <w:tr w:rsidR="00E0703B" w14:paraId="4A152AE9" w14:textId="77777777" w:rsidTr="00E0703B">
        <w:tc>
          <w:tcPr>
            <w:tcW w:w="13948" w:type="dxa"/>
          </w:tcPr>
          <w:p w14:paraId="1ABFC5D5" w14:textId="52F1717F" w:rsidR="00E0703B" w:rsidRDefault="00E0703B" w:rsidP="00E4592B">
            <w:pPr>
              <w:suppressAutoHyphens/>
              <w:spacing w:after="120" w:line="240" w:lineRule="auto"/>
              <w:rPr>
                <w:rFonts w:eastAsia="Calibri" w:cs="Arial"/>
                <w:szCs w:val="20"/>
              </w:rPr>
            </w:pPr>
            <w:r w:rsidRPr="00C13275">
              <w:rPr>
                <w:rFonts w:eastAsia="Calibri" w:cs="Arial"/>
                <w:b/>
                <w:bCs/>
                <w:szCs w:val="20"/>
              </w:rPr>
              <w:t>Explanatory Note:</w:t>
            </w:r>
            <w:r w:rsidRPr="00C13275">
              <w:rPr>
                <w:rFonts w:eastAsia="Calibri" w:cs="Arial"/>
                <w:szCs w:val="20"/>
              </w:rPr>
              <w:t xml:space="preserve"> These GRS Model Tender Clauses on modern slavery have been prepared by the Office of the NSW Anti-slavery Commissioner. </w:t>
            </w:r>
            <w:r w:rsidRPr="00C13275">
              <w:rPr>
                <w:rFonts w:eastAsia="Public Sans Light" w:cs="Arial"/>
                <w:szCs w:val="20"/>
              </w:rPr>
              <w:t xml:space="preserve">The GRS Model Tender Clauses are intended as a resource for NSW public entities and should be read in conjunction with the NSW Anti-slavery Commissioner’s </w:t>
            </w:r>
            <w:r w:rsidRPr="00C13275">
              <w:rPr>
                <w:rFonts w:eastAsia="Public Sans Light" w:cs="Arial"/>
                <w:i/>
                <w:iCs/>
                <w:szCs w:val="20"/>
              </w:rPr>
              <w:t>Guidance on Reasonable Steps</w:t>
            </w:r>
            <w:r w:rsidRPr="00C13275">
              <w:rPr>
                <w:rFonts w:eastAsia="Public Sans Light" w:cs="Arial"/>
                <w:szCs w:val="20"/>
              </w:rPr>
              <w:t xml:space="preserve">. The concepts of ‘Heightened’, ‘Standard’, ‘Light’ and ‘Minimal’ Due Diligence procurements are set out in that Guidance. </w:t>
            </w:r>
          </w:p>
        </w:tc>
      </w:tr>
    </w:tbl>
    <w:p w14:paraId="466130D3" w14:textId="34B94494" w:rsidR="00EC65EE" w:rsidRPr="00EC65EE" w:rsidRDefault="00EC65EE" w:rsidP="00EC65EE">
      <w:pPr>
        <w:suppressAutoHyphens/>
        <w:spacing w:after="120" w:line="240" w:lineRule="auto"/>
        <w:rPr>
          <w:rFonts w:eastAsia="Calibri" w:cs="Arial"/>
          <w:i/>
          <w:iCs/>
          <w:szCs w:val="20"/>
          <w:lang w:eastAsia="zh-CN"/>
        </w:rPr>
      </w:pPr>
      <w:r w:rsidRPr="00EC65EE">
        <w:rPr>
          <w:rFonts w:eastAsia="Calibri" w:cs="Arial"/>
          <w:b/>
          <w:bCs/>
          <w:i/>
          <w:iCs/>
          <w:szCs w:val="20"/>
          <w:lang w:eastAsia="zh-CN"/>
        </w:rPr>
        <w:t>Drafting Note</w:t>
      </w:r>
      <w:r>
        <w:rPr>
          <w:rFonts w:eastAsia="Calibri" w:cs="Arial"/>
          <w:i/>
          <w:iCs/>
          <w:szCs w:val="20"/>
          <w:lang w:eastAsia="zh-CN"/>
        </w:rPr>
        <w:t xml:space="preserve">: </w:t>
      </w:r>
      <w:r w:rsidRPr="00EC65EE">
        <w:rPr>
          <w:rFonts w:eastAsia="Calibri" w:cs="Arial"/>
          <w:i/>
          <w:iCs/>
          <w:szCs w:val="20"/>
          <w:lang w:eastAsia="zh-CN"/>
        </w:rPr>
        <w:t>These tender clauses and schedule are designed to be used in conjunction with the NSW Anti-slavery Commissioner’s Guidance on Reasonable Steps (‘GRS’) and the NSW Anti-slavery Commissioner’s Model Contract Clauses on modern slavery.</w:t>
      </w:r>
    </w:p>
    <w:p w14:paraId="199AFAA0" w14:textId="77777777" w:rsidR="00EC65EE" w:rsidRPr="00EC65EE" w:rsidRDefault="00EC65EE" w:rsidP="00EC65EE">
      <w:pPr>
        <w:suppressAutoHyphens/>
        <w:spacing w:after="120" w:line="240" w:lineRule="auto"/>
        <w:rPr>
          <w:rFonts w:eastAsia="Calibri" w:cs="Arial"/>
          <w:i/>
          <w:iCs/>
          <w:szCs w:val="20"/>
          <w:lang w:eastAsia="zh-CN"/>
        </w:rPr>
      </w:pPr>
      <w:r w:rsidRPr="00EC65EE">
        <w:rPr>
          <w:rFonts w:eastAsia="Calibri" w:cs="Arial"/>
          <w:i/>
          <w:iCs/>
          <w:szCs w:val="20"/>
          <w:lang w:eastAsia="zh-CN"/>
        </w:rPr>
        <w:t xml:space="preserve">These clauses should be used where the reporting entity determines, in conformance with the GRS, that the procurement requires </w:t>
      </w:r>
      <w:r w:rsidRPr="00EC65EE">
        <w:rPr>
          <w:rFonts w:eastAsia="Calibri" w:cs="Arial"/>
          <w:i/>
          <w:iCs/>
          <w:szCs w:val="20"/>
          <w:u w:val="single"/>
          <w:lang w:eastAsia="zh-CN"/>
        </w:rPr>
        <w:t>Heightened Due Diligence</w:t>
      </w:r>
      <w:r w:rsidRPr="00EC65EE">
        <w:rPr>
          <w:rFonts w:eastAsia="Calibri" w:cs="Arial"/>
          <w:i/>
          <w:iCs/>
          <w:szCs w:val="20"/>
          <w:lang w:eastAsia="zh-CN"/>
        </w:rPr>
        <w:t xml:space="preserve">. </w:t>
      </w:r>
    </w:p>
    <w:p w14:paraId="698D9C25" w14:textId="77777777" w:rsidR="00EC65EE" w:rsidRPr="00EC65EE" w:rsidRDefault="00EC65EE" w:rsidP="00EC65EE">
      <w:pPr>
        <w:suppressAutoHyphens/>
        <w:spacing w:after="120" w:line="240" w:lineRule="auto"/>
        <w:rPr>
          <w:rFonts w:eastAsia="Calibri" w:cs="Arial"/>
          <w:i/>
          <w:iCs/>
          <w:szCs w:val="20"/>
          <w:lang w:eastAsia="zh-CN"/>
        </w:rPr>
      </w:pPr>
      <w:r w:rsidRPr="00EC65EE">
        <w:rPr>
          <w:rFonts w:eastAsia="Calibri" w:cs="Arial"/>
          <w:i/>
          <w:iCs/>
          <w:szCs w:val="20"/>
          <w:lang w:eastAsia="zh-CN"/>
        </w:rPr>
        <w:t xml:space="preserve">These tender clauses and schedule assist the reporting entity to discharge its statutory responsibility to take reasonable steps to ensure it is not procuring goods or services that are products of modern slavery. </w:t>
      </w:r>
    </w:p>
    <w:p w14:paraId="78AC3757" w14:textId="77777777" w:rsidR="00EC65EE" w:rsidRPr="00EC65EE" w:rsidRDefault="00EC65EE" w:rsidP="00EC65EE">
      <w:pPr>
        <w:suppressAutoHyphens/>
        <w:spacing w:after="120" w:line="240" w:lineRule="auto"/>
        <w:rPr>
          <w:rFonts w:eastAsia="Calibri" w:cs="Arial"/>
          <w:i/>
          <w:iCs/>
          <w:szCs w:val="20"/>
          <w:lang w:eastAsia="zh-CN"/>
        </w:rPr>
      </w:pPr>
      <w:r w:rsidRPr="00EC65EE">
        <w:rPr>
          <w:rFonts w:eastAsia="Calibri" w:cs="Arial"/>
          <w:i/>
          <w:iCs/>
          <w:szCs w:val="20"/>
          <w:lang w:eastAsia="zh-CN"/>
        </w:rPr>
        <w:t xml:space="preserve">They do this by facilitating effective due diligence by the Buyer on the Tenderer.  </w:t>
      </w:r>
    </w:p>
    <w:p w14:paraId="641F90F8" w14:textId="01D40722" w:rsidR="00E0703B" w:rsidRDefault="00EC65EE" w:rsidP="00EC65EE">
      <w:pPr>
        <w:suppressAutoHyphens/>
        <w:spacing w:after="120" w:line="240" w:lineRule="auto"/>
        <w:rPr>
          <w:rFonts w:eastAsia="Calibri" w:cs="Arial"/>
          <w:i/>
          <w:iCs/>
          <w:szCs w:val="20"/>
          <w:lang w:eastAsia="zh-CN"/>
        </w:rPr>
      </w:pPr>
      <w:r w:rsidRPr="00EC65EE">
        <w:rPr>
          <w:rFonts w:eastAsia="Calibri" w:cs="Arial"/>
          <w:i/>
          <w:iCs/>
          <w:szCs w:val="20"/>
          <w:lang w:eastAsia="zh-CN"/>
        </w:rPr>
        <w:t>In these clauses the reporting entity is referred to as the ‘Buyer’ and the bidders are referred to as the ‘Tenderer’. The tender document is referred to as the ‘Tender’. This terminology should be adjusted for consistency with the tender documents in which these clauses will be inserted.</w:t>
      </w:r>
    </w:p>
    <w:p w14:paraId="60DB73B4" w14:textId="0169B5FE" w:rsidR="00EC65EE" w:rsidRPr="001A3E5D" w:rsidRDefault="00B01353" w:rsidP="001A3E5D">
      <w:pPr>
        <w:pStyle w:val="Heading2"/>
      </w:pPr>
      <w:r w:rsidRPr="001A3E5D">
        <w:t>Tender c</w:t>
      </w:r>
      <w:r w:rsidR="008005B1" w:rsidRPr="001A3E5D">
        <w:t xml:space="preserve">lause </w:t>
      </w:r>
    </w:p>
    <w:p w14:paraId="779E8A44" w14:textId="3E492A02" w:rsidR="00EC65EE" w:rsidRPr="001A3E5D" w:rsidRDefault="00EC65EE" w:rsidP="001A3E5D">
      <w:pPr>
        <w:pStyle w:val="Heading3"/>
      </w:pPr>
      <w:r w:rsidRPr="001A3E5D">
        <w:t>Modern Slavery</w:t>
      </w:r>
    </w:p>
    <w:p w14:paraId="209A5B89" w14:textId="61C5CD91" w:rsidR="00EC65EE" w:rsidRPr="001A3E5D" w:rsidRDefault="0071314E" w:rsidP="001A3E5D">
      <w:pPr>
        <w:pStyle w:val="Heading4"/>
      </w:pPr>
      <w:r w:rsidRPr="001A3E5D">
        <w:t>Definitions</w:t>
      </w:r>
    </w:p>
    <w:p w14:paraId="3878CCB5" w14:textId="77777777" w:rsidR="0071314E" w:rsidRPr="0071314E" w:rsidRDefault="0071314E" w:rsidP="00B01353">
      <w:pPr>
        <w:pStyle w:val="NormalIndent"/>
        <w:ind w:left="0"/>
        <w:rPr>
          <w:b/>
          <w:bCs/>
          <w:lang w:eastAsia="en-AU"/>
        </w:rPr>
      </w:pPr>
      <w:r w:rsidRPr="0071314E">
        <w:rPr>
          <w:b/>
          <w:bCs/>
          <w:lang w:eastAsia="en-AU"/>
        </w:rPr>
        <w:t>Modern Slavery</w:t>
      </w:r>
      <w:r w:rsidRPr="0071314E">
        <w:rPr>
          <w:lang w:eastAsia="en-AU"/>
        </w:rPr>
        <w:t>:</w:t>
      </w:r>
    </w:p>
    <w:p w14:paraId="0D521CDD" w14:textId="77777777" w:rsidR="0071314E" w:rsidRPr="0071314E" w:rsidRDefault="0071314E" w:rsidP="0071314E">
      <w:pPr>
        <w:pStyle w:val="AllensHeading3"/>
      </w:pPr>
      <w:r w:rsidRPr="0071314E">
        <w:t>means any conduct that constitutes or would constitute a modern slavery offence, namely an offence against one of the following provisions, or an offence of attempting or incitement to commit an offence against one or more of the following provisions:</w:t>
      </w:r>
    </w:p>
    <w:tbl>
      <w:tblPr>
        <w:tblStyle w:val="TableGrid2"/>
        <w:tblW w:w="8270" w:type="dxa"/>
        <w:tblInd w:w="720" w:type="dxa"/>
        <w:tblLayout w:type="fixed"/>
        <w:tblLook w:val="04A0" w:firstRow="1" w:lastRow="0" w:firstColumn="1" w:lastColumn="0" w:noHBand="0" w:noVBand="1"/>
      </w:tblPr>
      <w:tblGrid>
        <w:gridCol w:w="1685"/>
        <w:gridCol w:w="6585"/>
      </w:tblGrid>
      <w:tr w:rsidR="0071314E" w:rsidRPr="0071314E" w14:paraId="424ED89D" w14:textId="77777777" w:rsidTr="1CBFD9BA">
        <w:tc>
          <w:tcPr>
            <w:tcW w:w="8270" w:type="dxa"/>
            <w:gridSpan w:val="2"/>
            <w:tcBorders>
              <w:top w:val="single" w:sz="4" w:space="0" w:color="auto"/>
              <w:left w:val="single" w:sz="4" w:space="0" w:color="auto"/>
              <w:bottom w:val="single" w:sz="4" w:space="0" w:color="auto"/>
              <w:right w:val="single" w:sz="4" w:space="0" w:color="auto"/>
            </w:tcBorders>
            <w:hideMark/>
          </w:tcPr>
          <w:p w14:paraId="222A0D59"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An offence against the following sections of the </w:t>
            </w:r>
            <w:hyperlink r:id="rId10" w:history="1">
              <w:r w:rsidRPr="0071314E">
                <w:rPr>
                  <w:rStyle w:val="Hyperlink"/>
                  <w:i/>
                  <w:iCs/>
                  <w:sz w:val="18"/>
                  <w:szCs w:val="20"/>
                  <w:lang w:eastAsia="en-AU"/>
                </w:rPr>
                <w:t>Crimes Act 1900</w:t>
              </w:r>
            </w:hyperlink>
            <w:r w:rsidRPr="0071314E">
              <w:rPr>
                <w:rFonts w:eastAsiaTheme="minorHAnsi" w:cstheme="minorBidi"/>
                <w:sz w:val="18"/>
                <w:szCs w:val="20"/>
                <w:lang w:eastAsia="en-AU"/>
              </w:rPr>
              <w:t>—</w:t>
            </w:r>
          </w:p>
        </w:tc>
      </w:tr>
      <w:tr w:rsidR="0071314E" w:rsidRPr="0071314E" w14:paraId="2E44ECA6"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65D8CB3C"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b/>
                <w:bCs/>
                <w:sz w:val="18"/>
                <w:szCs w:val="20"/>
                <w:lang w:eastAsia="en-AU"/>
              </w:rPr>
              <w:t>Section</w:t>
            </w:r>
          </w:p>
        </w:tc>
        <w:tc>
          <w:tcPr>
            <w:tcW w:w="6585" w:type="dxa"/>
            <w:tcBorders>
              <w:top w:val="single" w:sz="4" w:space="0" w:color="auto"/>
              <w:left w:val="single" w:sz="4" w:space="0" w:color="auto"/>
              <w:bottom w:val="single" w:sz="4" w:space="0" w:color="auto"/>
              <w:right w:val="single" w:sz="4" w:space="0" w:color="auto"/>
            </w:tcBorders>
            <w:hideMark/>
          </w:tcPr>
          <w:p w14:paraId="48F9B295"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b/>
                <w:bCs/>
                <w:sz w:val="18"/>
                <w:szCs w:val="20"/>
                <w:lang w:eastAsia="en-AU"/>
              </w:rPr>
              <w:t>Description of offence</w:t>
            </w:r>
          </w:p>
        </w:tc>
      </w:tr>
      <w:tr w:rsidR="0071314E" w:rsidRPr="0071314E" w14:paraId="35EDAB69"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25377313"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80D</w:t>
            </w:r>
          </w:p>
        </w:tc>
        <w:tc>
          <w:tcPr>
            <w:tcW w:w="6585" w:type="dxa"/>
            <w:tcBorders>
              <w:top w:val="single" w:sz="4" w:space="0" w:color="auto"/>
              <w:left w:val="single" w:sz="4" w:space="0" w:color="auto"/>
              <w:bottom w:val="single" w:sz="4" w:space="0" w:color="auto"/>
              <w:right w:val="single" w:sz="4" w:space="0" w:color="auto"/>
            </w:tcBorders>
            <w:hideMark/>
          </w:tcPr>
          <w:p w14:paraId="5B46606A"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Causing sexual servitude</w:t>
            </w:r>
          </w:p>
        </w:tc>
      </w:tr>
      <w:tr w:rsidR="0071314E" w:rsidRPr="0071314E" w14:paraId="263CCA3F"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79D59A02"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80E</w:t>
            </w:r>
          </w:p>
        </w:tc>
        <w:tc>
          <w:tcPr>
            <w:tcW w:w="6585" w:type="dxa"/>
            <w:tcBorders>
              <w:top w:val="single" w:sz="4" w:space="0" w:color="auto"/>
              <w:left w:val="single" w:sz="4" w:space="0" w:color="auto"/>
              <w:bottom w:val="single" w:sz="4" w:space="0" w:color="auto"/>
              <w:right w:val="single" w:sz="4" w:space="0" w:color="auto"/>
            </w:tcBorders>
            <w:hideMark/>
          </w:tcPr>
          <w:p w14:paraId="128227C7"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Conduct of business involving sexual servitude</w:t>
            </w:r>
          </w:p>
        </w:tc>
      </w:tr>
      <w:tr w:rsidR="0071314E" w:rsidRPr="0071314E" w14:paraId="4F301C63"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05279B45"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91G (1) and (2)</w:t>
            </w:r>
          </w:p>
        </w:tc>
        <w:tc>
          <w:tcPr>
            <w:tcW w:w="6585" w:type="dxa"/>
            <w:tcBorders>
              <w:top w:val="single" w:sz="4" w:space="0" w:color="auto"/>
              <w:left w:val="single" w:sz="4" w:space="0" w:color="auto"/>
              <w:bottom w:val="single" w:sz="4" w:space="0" w:color="auto"/>
              <w:right w:val="single" w:sz="4" w:space="0" w:color="auto"/>
            </w:tcBorders>
            <w:hideMark/>
          </w:tcPr>
          <w:p w14:paraId="5B7C6B60"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Children not to be used for production of child abuse material</w:t>
            </w:r>
          </w:p>
        </w:tc>
      </w:tr>
      <w:tr w:rsidR="0071314E" w:rsidRPr="0071314E" w14:paraId="01489001"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03BDEBFE"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91G (3)</w:t>
            </w:r>
          </w:p>
        </w:tc>
        <w:tc>
          <w:tcPr>
            <w:tcW w:w="6585" w:type="dxa"/>
            <w:tcBorders>
              <w:top w:val="single" w:sz="4" w:space="0" w:color="auto"/>
              <w:left w:val="single" w:sz="4" w:space="0" w:color="auto"/>
              <w:bottom w:val="single" w:sz="4" w:space="0" w:color="auto"/>
              <w:right w:val="single" w:sz="4" w:space="0" w:color="auto"/>
            </w:tcBorders>
            <w:hideMark/>
          </w:tcPr>
          <w:p w14:paraId="28132393"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Aggravated offence of using children for production of child abuse material</w:t>
            </w:r>
          </w:p>
        </w:tc>
      </w:tr>
      <w:tr w:rsidR="0071314E" w:rsidRPr="0071314E" w14:paraId="0BD839F9"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57C9226C"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91H</w:t>
            </w:r>
          </w:p>
        </w:tc>
        <w:tc>
          <w:tcPr>
            <w:tcW w:w="6585" w:type="dxa"/>
            <w:tcBorders>
              <w:top w:val="single" w:sz="4" w:space="0" w:color="auto"/>
              <w:left w:val="single" w:sz="4" w:space="0" w:color="auto"/>
              <w:bottom w:val="single" w:sz="4" w:space="0" w:color="auto"/>
              <w:right w:val="single" w:sz="4" w:space="0" w:color="auto"/>
            </w:tcBorders>
            <w:hideMark/>
          </w:tcPr>
          <w:p w14:paraId="5A3A5B95"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 xml:space="preserve">Production, </w:t>
            </w:r>
            <w:proofErr w:type="gramStart"/>
            <w:r w:rsidRPr="0071314E">
              <w:rPr>
                <w:rFonts w:eastAsiaTheme="minorHAnsi" w:cstheme="minorBidi"/>
                <w:sz w:val="18"/>
                <w:szCs w:val="20"/>
                <w:lang w:eastAsia="en-AU"/>
              </w:rPr>
              <w:t>dissemination</w:t>
            </w:r>
            <w:proofErr w:type="gramEnd"/>
            <w:r w:rsidRPr="0071314E">
              <w:rPr>
                <w:rFonts w:eastAsiaTheme="minorHAnsi" w:cstheme="minorBidi"/>
                <w:sz w:val="18"/>
                <w:szCs w:val="20"/>
                <w:lang w:eastAsia="en-AU"/>
              </w:rPr>
              <w:t xml:space="preserve"> or possession of child abuse material</w:t>
            </w:r>
          </w:p>
        </w:tc>
      </w:tr>
      <w:tr w:rsidR="0071314E" w:rsidRPr="0071314E" w14:paraId="5D83A455"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0134CCF1"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91HAA</w:t>
            </w:r>
          </w:p>
        </w:tc>
        <w:tc>
          <w:tcPr>
            <w:tcW w:w="6585" w:type="dxa"/>
            <w:tcBorders>
              <w:top w:val="single" w:sz="4" w:space="0" w:color="auto"/>
              <w:left w:val="single" w:sz="4" w:space="0" w:color="auto"/>
              <w:bottom w:val="single" w:sz="4" w:space="0" w:color="auto"/>
              <w:right w:val="single" w:sz="4" w:space="0" w:color="auto"/>
            </w:tcBorders>
            <w:hideMark/>
          </w:tcPr>
          <w:p w14:paraId="61A6F7F7"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Administering a digital platform used to deal with child abuse material</w:t>
            </w:r>
          </w:p>
        </w:tc>
      </w:tr>
      <w:tr w:rsidR="0071314E" w:rsidRPr="0071314E" w14:paraId="7F29BF8E"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1E4441E0"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93AA–93AC</w:t>
            </w:r>
          </w:p>
        </w:tc>
        <w:tc>
          <w:tcPr>
            <w:tcW w:w="6585" w:type="dxa"/>
            <w:tcBorders>
              <w:top w:val="single" w:sz="4" w:space="0" w:color="auto"/>
              <w:left w:val="single" w:sz="4" w:space="0" w:color="auto"/>
              <w:bottom w:val="single" w:sz="4" w:space="0" w:color="auto"/>
              <w:right w:val="single" w:sz="4" w:space="0" w:color="auto"/>
            </w:tcBorders>
            <w:hideMark/>
          </w:tcPr>
          <w:p w14:paraId="3B9FDE8E"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Slavery and slavery-like offences</w:t>
            </w:r>
          </w:p>
        </w:tc>
      </w:tr>
      <w:tr w:rsidR="0071314E" w:rsidRPr="0071314E" w14:paraId="364F2C03" w14:textId="77777777" w:rsidTr="1CBFD9BA">
        <w:tc>
          <w:tcPr>
            <w:tcW w:w="8270" w:type="dxa"/>
            <w:gridSpan w:val="2"/>
            <w:tcBorders>
              <w:top w:val="single" w:sz="4" w:space="0" w:color="auto"/>
              <w:left w:val="single" w:sz="4" w:space="0" w:color="auto"/>
              <w:bottom w:val="single" w:sz="4" w:space="0" w:color="auto"/>
              <w:right w:val="single" w:sz="4" w:space="0" w:color="auto"/>
            </w:tcBorders>
            <w:hideMark/>
          </w:tcPr>
          <w:p w14:paraId="7FA69FD8"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An offence against the following section of the </w:t>
            </w:r>
            <w:hyperlink r:id="rId11" w:history="1">
              <w:r w:rsidRPr="0071314E">
                <w:rPr>
                  <w:rStyle w:val="Hyperlink"/>
                  <w:i/>
                  <w:iCs/>
                  <w:sz w:val="18"/>
                  <w:szCs w:val="20"/>
                  <w:lang w:eastAsia="en-AU"/>
                </w:rPr>
                <w:t>Human Tissue Act 1983</w:t>
              </w:r>
            </w:hyperlink>
            <w:r w:rsidRPr="0071314E">
              <w:rPr>
                <w:rFonts w:eastAsiaTheme="minorHAnsi" w:cstheme="minorBidi"/>
                <w:sz w:val="18"/>
                <w:szCs w:val="20"/>
                <w:lang w:eastAsia="en-AU"/>
              </w:rPr>
              <w:t>—</w:t>
            </w:r>
          </w:p>
        </w:tc>
      </w:tr>
      <w:tr w:rsidR="0071314E" w:rsidRPr="0071314E" w14:paraId="3E34E9D5"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16584363"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b/>
                <w:bCs/>
                <w:sz w:val="18"/>
                <w:szCs w:val="20"/>
                <w:lang w:eastAsia="en-AU"/>
              </w:rPr>
              <w:t>Section</w:t>
            </w:r>
          </w:p>
        </w:tc>
        <w:tc>
          <w:tcPr>
            <w:tcW w:w="6585" w:type="dxa"/>
            <w:tcBorders>
              <w:top w:val="single" w:sz="4" w:space="0" w:color="auto"/>
              <w:left w:val="single" w:sz="4" w:space="0" w:color="auto"/>
              <w:bottom w:val="single" w:sz="4" w:space="0" w:color="auto"/>
              <w:right w:val="single" w:sz="4" w:space="0" w:color="auto"/>
            </w:tcBorders>
            <w:hideMark/>
          </w:tcPr>
          <w:p w14:paraId="531DEDB4"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b/>
                <w:bCs/>
                <w:sz w:val="18"/>
                <w:szCs w:val="20"/>
                <w:lang w:eastAsia="en-AU"/>
              </w:rPr>
              <w:t>Description of offence</w:t>
            </w:r>
          </w:p>
        </w:tc>
      </w:tr>
      <w:tr w:rsidR="0071314E" w:rsidRPr="0071314E" w14:paraId="74DAEA43"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0EFB693F"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32, but only in relation to tissue that is an organ</w:t>
            </w:r>
          </w:p>
        </w:tc>
        <w:tc>
          <w:tcPr>
            <w:tcW w:w="6585" w:type="dxa"/>
            <w:tcBorders>
              <w:top w:val="single" w:sz="4" w:space="0" w:color="auto"/>
              <w:left w:val="single" w:sz="4" w:space="0" w:color="auto"/>
              <w:bottom w:val="single" w:sz="4" w:space="0" w:color="auto"/>
              <w:right w:val="single" w:sz="4" w:space="0" w:color="auto"/>
            </w:tcBorders>
            <w:hideMark/>
          </w:tcPr>
          <w:p w14:paraId="5E0159B2"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Trading in tissue prohibited</w:t>
            </w:r>
          </w:p>
        </w:tc>
      </w:tr>
      <w:tr w:rsidR="0071314E" w:rsidRPr="0071314E" w14:paraId="50279EB2" w14:textId="77777777" w:rsidTr="1CBFD9BA">
        <w:tc>
          <w:tcPr>
            <w:tcW w:w="8270" w:type="dxa"/>
            <w:gridSpan w:val="2"/>
            <w:tcBorders>
              <w:top w:val="single" w:sz="4" w:space="0" w:color="auto"/>
              <w:left w:val="single" w:sz="4" w:space="0" w:color="auto"/>
              <w:bottom w:val="single" w:sz="4" w:space="0" w:color="auto"/>
              <w:right w:val="single" w:sz="4" w:space="0" w:color="auto"/>
            </w:tcBorders>
            <w:hideMark/>
          </w:tcPr>
          <w:p w14:paraId="0D59FC10"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An offence against any of the following sections of the Commonwealth Criminal Code—</w:t>
            </w:r>
          </w:p>
        </w:tc>
      </w:tr>
      <w:tr w:rsidR="0071314E" w:rsidRPr="0071314E" w14:paraId="71D7B433"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1AFFE4F0"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b/>
                <w:bCs/>
                <w:sz w:val="18"/>
                <w:szCs w:val="20"/>
                <w:lang w:eastAsia="en-AU"/>
              </w:rPr>
              <w:lastRenderedPageBreak/>
              <w:t>Section</w:t>
            </w:r>
          </w:p>
        </w:tc>
        <w:tc>
          <w:tcPr>
            <w:tcW w:w="6585" w:type="dxa"/>
            <w:tcBorders>
              <w:top w:val="single" w:sz="4" w:space="0" w:color="auto"/>
              <w:left w:val="single" w:sz="4" w:space="0" w:color="auto"/>
              <w:bottom w:val="single" w:sz="4" w:space="0" w:color="auto"/>
              <w:right w:val="single" w:sz="4" w:space="0" w:color="auto"/>
            </w:tcBorders>
            <w:hideMark/>
          </w:tcPr>
          <w:p w14:paraId="65FE8F98"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b/>
                <w:bCs/>
                <w:sz w:val="18"/>
                <w:szCs w:val="20"/>
                <w:lang w:eastAsia="en-AU"/>
              </w:rPr>
              <w:t>Description of offence</w:t>
            </w:r>
          </w:p>
        </w:tc>
      </w:tr>
      <w:tr w:rsidR="0071314E" w:rsidRPr="0071314E" w14:paraId="3E511ED3"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7B28FDA3"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270.3</w:t>
            </w:r>
          </w:p>
        </w:tc>
        <w:tc>
          <w:tcPr>
            <w:tcW w:w="6585" w:type="dxa"/>
            <w:tcBorders>
              <w:top w:val="single" w:sz="4" w:space="0" w:color="auto"/>
              <w:left w:val="single" w:sz="4" w:space="0" w:color="auto"/>
              <w:bottom w:val="single" w:sz="4" w:space="0" w:color="auto"/>
              <w:right w:val="single" w:sz="4" w:space="0" w:color="auto"/>
            </w:tcBorders>
            <w:hideMark/>
          </w:tcPr>
          <w:p w14:paraId="6E9752D1"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Slavery offences</w:t>
            </w:r>
          </w:p>
        </w:tc>
      </w:tr>
      <w:tr w:rsidR="0071314E" w:rsidRPr="0071314E" w14:paraId="0BF14170"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49186B14"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270.5</w:t>
            </w:r>
          </w:p>
        </w:tc>
        <w:tc>
          <w:tcPr>
            <w:tcW w:w="6585" w:type="dxa"/>
            <w:tcBorders>
              <w:top w:val="single" w:sz="4" w:space="0" w:color="auto"/>
              <w:left w:val="single" w:sz="4" w:space="0" w:color="auto"/>
              <w:bottom w:val="single" w:sz="4" w:space="0" w:color="auto"/>
              <w:right w:val="single" w:sz="4" w:space="0" w:color="auto"/>
            </w:tcBorders>
            <w:hideMark/>
          </w:tcPr>
          <w:p w14:paraId="48D0C3B8"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Servitude offences</w:t>
            </w:r>
          </w:p>
        </w:tc>
      </w:tr>
      <w:tr w:rsidR="0071314E" w:rsidRPr="0071314E" w14:paraId="290FDFF0"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41682620"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270.6A</w:t>
            </w:r>
          </w:p>
        </w:tc>
        <w:tc>
          <w:tcPr>
            <w:tcW w:w="6585" w:type="dxa"/>
            <w:tcBorders>
              <w:top w:val="single" w:sz="4" w:space="0" w:color="auto"/>
              <w:left w:val="single" w:sz="4" w:space="0" w:color="auto"/>
              <w:bottom w:val="single" w:sz="4" w:space="0" w:color="auto"/>
              <w:right w:val="single" w:sz="4" w:space="0" w:color="auto"/>
            </w:tcBorders>
            <w:hideMark/>
          </w:tcPr>
          <w:p w14:paraId="538B7B8E"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Forced labour offences</w:t>
            </w:r>
          </w:p>
        </w:tc>
      </w:tr>
      <w:tr w:rsidR="0071314E" w:rsidRPr="0071314E" w14:paraId="0EDD4FB4"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610EBC7F"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270.7</w:t>
            </w:r>
          </w:p>
        </w:tc>
        <w:tc>
          <w:tcPr>
            <w:tcW w:w="6585" w:type="dxa"/>
            <w:tcBorders>
              <w:top w:val="single" w:sz="4" w:space="0" w:color="auto"/>
              <w:left w:val="single" w:sz="4" w:space="0" w:color="auto"/>
              <w:bottom w:val="single" w:sz="4" w:space="0" w:color="auto"/>
              <w:right w:val="single" w:sz="4" w:space="0" w:color="auto"/>
            </w:tcBorders>
            <w:hideMark/>
          </w:tcPr>
          <w:p w14:paraId="0D624AD4"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Deceptive recruiting for labour or services</w:t>
            </w:r>
          </w:p>
        </w:tc>
      </w:tr>
      <w:tr w:rsidR="0071314E" w:rsidRPr="0071314E" w14:paraId="321F52DD"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5B477811"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270.7B</w:t>
            </w:r>
          </w:p>
        </w:tc>
        <w:tc>
          <w:tcPr>
            <w:tcW w:w="6585" w:type="dxa"/>
            <w:tcBorders>
              <w:top w:val="single" w:sz="4" w:space="0" w:color="auto"/>
              <w:left w:val="single" w:sz="4" w:space="0" w:color="auto"/>
              <w:bottom w:val="single" w:sz="4" w:space="0" w:color="auto"/>
              <w:right w:val="single" w:sz="4" w:space="0" w:color="auto"/>
            </w:tcBorders>
            <w:hideMark/>
          </w:tcPr>
          <w:p w14:paraId="5FD60F8C"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Forced marriage offences</w:t>
            </w:r>
          </w:p>
        </w:tc>
      </w:tr>
      <w:tr w:rsidR="0071314E" w:rsidRPr="0071314E" w14:paraId="28C12876"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76BABC6D"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270.7C</w:t>
            </w:r>
          </w:p>
        </w:tc>
        <w:tc>
          <w:tcPr>
            <w:tcW w:w="6585" w:type="dxa"/>
            <w:tcBorders>
              <w:top w:val="single" w:sz="4" w:space="0" w:color="auto"/>
              <w:left w:val="single" w:sz="4" w:space="0" w:color="auto"/>
              <w:bottom w:val="single" w:sz="4" w:space="0" w:color="auto"/>
              <w:right w:val="single" w:sz="4" w:space="0" w:color="auto"/>
            </w:tcBorders>
            <w:hideMark/>
          </w:tcPr>
          <w:p w14:paraId="74DBA11F"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Offence of debt bondage</w:t>
            </w:r>
          </w:p>
        </w:tc>
      </w:tr>
      <w:tr w:rsidR="0071314E" w:rsidRPr="0071314E" w14:paraId="77145A09"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1539F6A2"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270.8</w:t>
            </w:r>
          </w:p>
        </w:tc>
        <w:tc>
          <w:tcPr>
            <w:tcW w:w="6585" w:type="dxa"/>
            <w:tcBorders>
              <w:top w:val="single" w:sz="4" w:space="0" w:color="auto"/>
              <w:left w:val="single" w:sz="4" w:space="0" w:color="auto"/>
              <w:bottom w:val="single" w:sz="4" w:space="0" w:color="auto"/>
              <w:right w:val="single" w:sz="4" w:space="0" w:color="auto"/>
            </w:tcBorders>
            <w:hideMark/>
          </w:tcPr>
          <w:p w14:paraId="6BB76E6E"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Slavery-like offences—aggravated offences</w:t>
            </w:r>
          </w:p>
        </w:tc>
      </w:tr>
      <w:tr w:rsidR="0071314E" w:rsidRPr="0071314E" w14:paraId="7BAEAEE3"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62CEF0A5"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271.2</w:t>
            </w:r>
          </w:p>
        </w:tc>
        <w:tc>
          <w:tcPr>
            <w:tcW w:w="6585" w:type="dxa"/>
            <w:tcBorders>
              <w:top w:val="single" w:sz="4" w:space="0" w:color="auto"/>
              <w:left w:val="single" w:sz="4" w:space="0" w:color="auto"/>
              <w:bottom w:val="single" w:sz="4" w:space="0" w:color="auto"/>
              <w:right w:val="single" w:sz="4" w:space="0" w:color="auto"/>
            </w:tcBorders>
            <w:hideMark/>
          </w:tcPr>
          <w:p w14:paraId="37F2E101"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Offence of trafficking in persons</w:t>
            </w:r>
          </w:p>
        </w:tc>
      </w:tr>
      <w:tr w:rsidR="0071314E" w:rsidRPr="0071314E" w14:paraId="305696D6"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77783E43"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271.3</w:t>
            </w:r>
          </w:p>
        </w:tc>
        <w:tc>
          <w:tcPr>
            <w:tcW w:w="6585" w:type="dxa"/>
            <w:tcBorders>
              <w:top w:val="single" w:sz="4" w:space="0" w:color="auto"/>
              <w:left w:val="single" w:sz="4" w:space="0" w:color="auto"/>
              <w:bottom w:val="single" w:sz="4" w:space="0" w:color="auto"/>
              <w:right w:val="single" w:sz="4" w:space="0" w:color="auto"/>
            </w:tcBorders>
            <w:hideMark/>
          </w:tcPr>
          <w:p w14:paraId="5AF97DA9"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Trafficking in persons—aggravated offence</w:t>
            </w:r>
          </w:p>
        </w:tc>
      </w:tr>
      <w:tr w:rsidR="0071314E" w:rsidRPr="0071314E" w14:paraId="2B138C65"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04E54C70"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271.4</w:t>
            </w:r>
          </w:p>
        </w:tc>
        <w:tc>
          <w:tcPr>
            <w:tcW w:w="6585" w:type="dxa"/>
            <w:tcBorders>
              <w:top w:val="single" w:sz="4" w:space="0" w:color="auto"/>
              <w:left w:val="single" w:sz="4" w:space="0" w:color="auto"/>
              <w:bottom w:val="single" w:sz="4" w:space="0" w:color="auto"/>
              <w:right w:val="single" w:sz="4" w:space="0" w:color="auto"/>
            </w:tcBorders>
            <w:hideMark/>
          </w:tcPr>
          <w:p w14:paraId="6BB21D1B"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Offence of trafficking in children</w:t>
            </w:r>
          </w:p>
        </w:tc>
      </w:tr>
      <w:tr w:rsidR="0071314E" w:rsidRPr="0071314E" w14:paraId="742A7556"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27FDD4A3"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271.5</w:t>
            </w:r>
          </w:p>
        </w:tc>
        <w:tc>
          <w:tcPr>
            <w:tcW w:w="6585" w:type="dxa"/>
            <w:tcBorders>
              <w:top w:val="single" w:sz="4" w:space="0" w:color="auto"/>
              <w:left w:val="single" w:sz="4" w:space="0" w:color="auto"/>
              <w:bottom w:val="single" w:sz="4" w:space="0" w:color="auto"/>
              <w:right w:val="single" w:sz="4" w:space="0" w:color="auto"/>
            </w:tcBorders>
            <w:hideMark/>
          </w:tcPr>
          <w:p w14:paraId="4FD331CD"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Offence of domestic trafficking in persons</w:t>
            </w:r>
          </w:p>
        </w:tc>
      </w:tr>
      <w:tr w:rsidR="0071314E" w:rsidRPr="0071314E" w14:paraId="4E0BB3C7"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1BE46BB7"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271.6</w:t>
            </w:r>
          </w:p>
        </w:tc>
        <w:tc>
          <w:tcPr>
            <w:tcW w:w="6585" w:type="dxa"/>
            <w:tcBorders>
              <w:top w:val="single" w:sz="4" w:space="0" w:color="auto"/>
              <w:left w:val="single" w:sz="4" w:space="0" w:color="auto"/>
              <w:bottom w:val="single" w:sz="4" w:space="0" w:color="auto"/>
              <w:right w:val="single" w:sz="4" w:space="0" w:color="auto"/>
            </w:tcBorders>
            <w:hideMark/>
          </w:tcPr>
          <w:p w14:paraId="25050E8B"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Domestic trafficking in persons—aggravated offence</w:t>
            </w:r>
          </w:p>
        </w:tc>
      </w:tr>
      <w:tr w:rsidR="0071314E" w:rsidRPr="0071314E" w14:paraId="0FCC0479"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31FCA57F"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271.7</w:t>
            </w:r>
          </w:p>
        </w:tc>
        <w:tc>
          <w:tcPr>
            <w:tcW w:w="6585" w:type="dxa"/>
            <w:tcBorders>
              <w:top w:val="single" w:sz="4" w:space="0" w:color="auto"/>
              <w:left w:val="single" w:sz="4" w:space="0" w:color="auto"/>
              <w:bottom w:val="single" w:sz="4" w:space="0" w:color="auto"/>
              <w:right w:val="single" w:sz="4" w:space="0" w:color="auto"/>
            </w:tcBorders>
            <w:hideMark/>
          </w:tcPr>
          <w:p w14:paraId="4465C890"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Offence of domestic trafficking in children</w:t>
            </w:r>
          </w:p>
        </w:tc>
      </w:tr>
      <w:tr w:rsidR="0071314E" w:rsidRPr="0071314E" w14:paraId="22433283"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20D4465D"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271.7B</w:t>
            </w:r>
          </w:p>
        </w:tc>
        <w:tc>
          <w:tcPr>
            <w:tcW w:w="6585" w:type="dxa"/>
            <w:tcBorders>
              <w:top w:val="single" w:sz="4" w:space="0" w:color="auto"/>
              <w:left w:val="single" w:sz="4" w:space="0" w:color="auto"/>
              <w:bottom w:val="single" w:sz="4" w:space="0" w:color="auto"/>
              <w:right w:val="single" w:sz="4" w:space="0" w:color="auto"/>
            </w:tcBorders>
            <w:hideMark/>
          </w:tcPr>
          <w:p w14:paraId="0A9C1E4D"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Offence of organ trafficking—entry into and exit from Australia</w:t>
            </w:r>
          </w:p>
        </w:tc>
      </w:tr>
      <w:tr w:rsidR="0071314E" w:rsidRPr="0071314E" w14:paraId="27E2BD9B"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06F58A75"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271.7C</w:t>
            </w:r>
          </w:p>
        </w:tc>
        <w:tc>
          <w:tcPr>
            <w:tcW w:w="6585" w:type="dxa"/>
            <w:tcBorders>
              <w:top w:val="single" w:sz="4" w:space="0" w:color="auto"/>
              <w:left w:val="single" w:sz="4" w:space="0" w:color="auto"/>
              <w:bottom w:val="single" w:sz="4" w:space="0" w:color="auto"/>
              <w:right w:val="single" w:sz="4" w:space="0" w:color="auto"/>
            </w:tcBorders>
            <w:hideMark/>
          </w:tcPr>
          <w:p w14:paraId="14CD6D31"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Organ trafficking—aggravated offence</w:t>
            </w:r>
          </w:p>
        </w:tc>
      </w:tr>
      <w:tr w:rsidR="0071314E" w:rsidRPr="0071314E" w14:paraId="4338CD86"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40909DC1"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271.7D</w:t>
            </w:r>
          </w:p>
        </w:tc>
        <w:tc>
          <w:tcPr>
            <w:tcW w:w="6585" w:type="dxa"/>
            <w:tcBorders>
              <w:top w:val="single" w:sz="4" w:space="0" w:color="auto"/>
              <w:left w:val="single" w:sz="4" w:space="0" w:color="auto"/>
              <w:bottom w:val="single" w:sz="4" w:space="0" w:color="auto"/>
              <w:right w:val="single" w:sz="4" w:space="0" w:color="auto"/>
            </w:tcBorders>
            <w:hideMark/>
          </w:tcPr>
          <w:p w14:paraId="0700C2AB"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Offence of domestic organ trafficking</w:t>
            </w:r>
          </w:p>
        </w:tc>
      </w:tr>
      <w:tr w:rsidR="0071314E" w:rsidRPr="0071314E" w14:paraId="24B77763" w14:textId="77777777" w:rsidTr="1CBFD9BA">
        <w:tc>
          <w:tcPr>
            <w:tcW w:w="1685" w:type="dxa"/>
            <w:tcBorders>
              <w:top w:val="single" w:sz="4" w:space="0" w:color="auto"/>
              <w:left w:val="single" w:sz="4" w:space="0" w:color="auto"/>
              <w:bottom w:val="single" w:sz="4" w:space="0" w:color="auto"/>
              <w:right w:val="single" w:sz="4" w:space="0" w:color="auto"/>
            </w:tcBorders>
            <w:hideMark/>
          </w:tcPr>
          <w:p w14:paraId="75315861"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271.7E</w:t>
            </w:r>
          </w:p>
        </w:tc>
        <w:tc>
          <w:tcPr>
            <w:tcW w:w="6585" w:type="dxa"/>
            <w:tcBorders>
              <w:top w:val="single" w:sz="4" w:space="0" w:color="auto"/>
              <w:left w:val="single" w:sz="4" w:space="0" w:color="auto"/>
              <w:bottom w:val="single" w:sz="4" w:space="0" w:color="auto"/>
              <w:right w:val="single" w:sz="4" w:space="0" w:color="auto"/>
            </w:tcBorders>
            <w:hideMark/>
          </w:tcPr>
          <w:p w14:paraId="0118851E" w14:textId="77777777" w:rsidR="0071314E" w:rsidRPr="0071314E" w:rsidRDefault="0071314E" w:rsidP="0071314E">
            <w:pPr>
              <w:pStyle w:val="NormalIndent"/>
              <w:ind w:left="18"/>
              <w:rPr>
                <w:rFonts w:eastAsiaTheme="minorHAnsi" w:cstheme="minorBidi"/>
                <w:sz w:val="18"/>
                <w:szCs w:val="20"/>
                <w:lang w:eastAsia="en-AU"/>
              </w:rPr>
            </w:pPr>
            <w:r w:rsidRPr="0071314E">
              <w:rPr>
                <w:rFonts w:eastAsiaTheme="minorHAnsi" w:cstheme="minorBidi"/>
                <w:sz w:val="18"/>
                <w:szCs w:val="20"/>
                <w:lang w:eastAsia="en-AU"/>
              </w:rPr>
              <w:t>Domestic organ trafficking—aggravated offence</w:t>
            </w:r>
          </w:p>
        </w:tc>
      </w:tr>
    </w:tbl>
    <w:p w14:paraId="2D6BE03E" w14:textId="77777777" w:rsidR="0071314E" w:rsidRPr="0071314E" w:rsidRDefault="0071314E" w:rsidP="0071314E">
      <w:pPr>
        <w:pStyle w:val="AllensHeading3"/>
      </w:pPr>
      <w:r w:rsidRPr="0071314E">
        <w:rPr>
          <w:rFonts w:eastAsia="Public Sans Light"/>
        </w:rPr>
        <w:t>includes any conduct that constitutes or would constitute an offence under any of the Modern Slavery Laws as amended from time to time, including an offence of attempting or incitement to commit such an offence; and</w:t>
      </w:r>
    </w:p>
    <w:p w14:paraId="268CE82F" w14:textId="544AC1B4" w:rsidR="0071314E" w:rsidRPr="0071314E" w:rsidRDefault="0071314E" w:rsidP="0071314E">
      <w:pPr>
        <w:pStyle w:val="AllensHeading3"/>
      </w:pPr>
      <w:r w:rsidRPr="0071314E">
        <w:t xml:space="preserve">includes conduct engaged in elsewhere than in New South Wales that, if it occurred in New South Wales, would constitute a modern slavery offence under paragraphs (a) or (b). </w:t>
      </w:r>
    </w:p>
    <w:p w14:paraId="06B41341" w14:textId="77777777" w:rsidR="0071314E" w:rsidRPr="0071314E" w:rsidRDefault="0071314E" w:rsidP="00B01353">
      <w:pPr>
        <w:pStyle w:val="NormalIndent"/>
        <w:ind w:left="0"/>
        <w:rPr>
          <w:lang w:eastAsia="en-AU"/>
        </w:rPr>
      </w:pPr>
      <w:r w:rsidRPr="0071314E">
        <w:rPr>
          <w:b/>
          <w:bCs/>
          <w:lang w:eastAsia="en-AU"/>
        </w:rPr>
        <w:t>Modern Slavery Laws</w:t>
      </w:r>
      <w:r w:rsidRPr="0071314E">
        <w:rPr>
          <w:lang w:eastAsia="en-AU"/>
        </w:rPr>
        <w:t xml:space="preserve"> means:</w:t>
      </w:r>
    </w:p>
    <w:p w14:paraId="45535AF9" w14:textId="77777777" w:rsidR="0071314E" w:rsidRPr="0071314E" w:rsidRDefault="0071314E" w:rsidP="0071314E">
      <w:pPr>
        <w:pStyle w:val="AllensHeading3"/>
        <w:numPr>
          <w:ilvl w:val="2"/>
          <w:numId w:val="14"/>
        </w:numPr>
      </w:pPr>
      <w:r w:rsidRPr="0071314E">
        <w:t>the Modern Slavery Act 2018 (</w:t>
      </w:r>
      <w:proofErr w:type="spellStart"/>
      <w:r w:rsidRPr="0071314E">
        <w:t>Cth</w:t>
      </w:r>
      <w:proofErr w:type="spellEnd"/>
      <w:proofErr w:type="gramStart"/>
      <w:r w:rsidRPr="0071314E">
        <w:t>);</w:t>
      </w:r>
      <w:proofErr w:type="gramEnd"/>
      <w:r w:rsidRPr="0071314E">
        <w:t xml:space="preserve"> </w:t>
      </w:r>
    </w:p>
    <w:p w14:paraId="29D5E70D" w14:textId="77777777" w:rsidR="0071314E" w:rsidRPr="0071314E" w:rsidRDefault="0071314E" w:rsidP="0071314E">
      <w:pPr>
        <w:pStyle w:val="AllensHeading3"/>
      </w:pPr>
      <w:r w:rsidRPr="0071314E">
        <w:t>the Modern Slavery Act 2018 (NSW</w:t>
      </w:r>
      <w:proofErr w:type="gramStart"/>
      <w:r w:rsidRPr="0071314E">
        <w:t>);</w:t>
      </w:r>
      <w:proofErr w:type="gramEnd"/>
    </w:p>
    <w:p w14:paraId="0E0D9EC4" w14:textId="77777777" w:rsidR="0071314E" w:rsidRPr="0071314E" w:rsidRDefault="0071314E" w:rsidP="0071314E">
      <w:pPr>
        <w:pStyle w:val="AllensHeading3"/>
      </w:pPr>
      <w:r w:rsidRPr="0071314E">
        <w:t xml:space="preserve">Divisions 270 and 271 of the Commonwealth Criminal </w:t>
      </w:r>
      <w:proofErr w:type="gramStart"/>
      <w:r w:rsidRPr="0071314E">
        <w:t>Code;</w:t>
      </w:r>
      <w:proofErr w:type="gramEnd"/>
    </w:p>
    <w:p w14:paraId="3B906BCB" w14:textId="77777777" w:rsidR="0071314E" w:rsidRPr="0071314E" w:rsidRDefault="0071314E" w:rsidP="0071314E">
      <w:pPr>
        <w:pStyle w:val="AllensHeading3"/>
      </w:pPr>
      <w:r w:rsidRPr="0071314E">
        <w:t>section 176(1A) of the Public Works and Procurement Act 1912 (NSW</w:t>
      </w:r>
      <w:proofErr w:type="gramStart"/>
      <w:r w:rsidRPr="0071314E">
        <w:t>);</w:t>
      </w:r>
      <w:proofErr w:type="gramEnd"/>
      <w:r w:rsidRPr="0071314E">
        <w:t xml:space="preserve"> </w:t>
      </w:r>
    </w:p>
    <w:p w14:paraId="2E841321" w14:textId="77777777" w:rsidR="0071314E" w:rsidRPr="0071314E" w:rsidRDefault="0071314E" w:rsidP="0071314E">
      <w:pPr>
        <w:pStyle w:val="AllensHeading3"/>
      </w:pPr>
      <w:r w:rsidRPr="0071314E">
        <w:t xml:space="preserve">section 438ZE of the </w:t>
      </w:r>
      <w:r w:rsidRPr="0071314E">
        <w:rPr>
          <w:i/>
          <w:iCs/>
        </w:rPr>
        <w:t>Local Government Act 1993</w:t>
      </w:r>
      <w:r w:rsidRPr="0071314E">
        <w:t xml:space="preserve"> (NSW); and</w:t>
      </w:r>
    </w:p>
    <w:p w14:paraId="1BDE9E4D" w14:textId="77777777" w:rsidR="0071314E" w:rsidRPr="0071314E" w:rsidRDefault="0071314E" w:rsidP="0071314E">
      <w:pPr>
        <w:pStyle w:val="AllensHeading3"/>
      </w:pPr>
      <w:r w:rsidRPr="0071314E">
        <w:t xml:space="preserve">any other laws, regulations, </w:t>
      </w:r>
      <w:proofErr w:type="gramStart"/>
      <w:r w:rsidRPr="0071314E">
        <w:t>codes</w:t>
      </w:r>
      <w:proofErr w:type="gramEnd"/>
      <w:r w:rsidRPr="0071314E">
        <w:t xml:space="preserve"> and international conventions aimed at combatting modern slavery, forced labour or human trafficking, from time to time in force in or ratified by Australia and, where relevant, in or by other jurisdictions in which the parties operate, </w:t>
      </w:r>
    </w:p>
    <w:p w14:paraId="466BA41F" w14:textId="77777777" w:rsidR="0071314E" w:rsidRPr="0071314E" w:rsidRDefault="0071314E" w:rsidP="0071314E">
      <w:pPr>
        <w:pStyle w:val="NormalIndent"/>
        <w:ind w:left="0" w:firstLine="709"/>
        <w:rPr>
          <w:lang w:eastAsia="en-AU"/>
        </w:rPr>
      </w:pPr>
      <w:r w:rsidRPr="0071314E">
        <w:rPr>
          <w:lang w:eastAsia="en-AU"/>
        </w:rPr>
        <w:t xml:space="preserve">each as amended from time to time. </w:t>
      </w:r>
    </w:p>
    <w:p w14:paraId="5A5A7B16" w14:textId="2A842349" w:rsidR="0071314E" w:rsidRDefault="0071314E" w:rsidP="0071314E">
      <w:pPr>
        <w:pStyle w:val="NormalIndent"/>
        <w:ind w:left="0"/>
        <w:rPr>
          <w:lang w:eastAsia="en-AU"/>
        </w:rPr>
      </w:pPr>
      <w:r w:rsidRPr="0071314E">
        <w:rPr>
          <w:b/>
          <w:bCs/>
          <w:lang w:eastAsia="en-AU"/>
        </w:rPr>
        <w:t xml:space="preserve">reasonable steps </w:t>
      </w:r>
      <w:proofErr w:type="gramStart"/>
      <w:r w:rsidRPr="0071314E">
        <w:rPr>
          <w:lang w:eastAsia="en-AU"/>
        </w:rPr>
        <w:t>means</w:t>
      </w:r>
      <w:proofErr w:type="gramEnd"/>
      <w:r w:rsidRPr="0071314E">
        <w:rPr>
          <w:lang w:eastAsia="en-AU"/>
        </w:rPr>
        <w:t xml:space="preserve"> those steps that are reasonable in the circumstances to prevent, identify, mitigate and remedy modern slavery. In assessing whether steps are reasonable, the parties may refer to the NSW Anti-slavery Commissioner’s Guidance on Reasonable Steps and related information and resources published by the Anti-slavery Commissioner.</w:t>
      </w:r>
    </w:p>
    <w:p w14:paraId="3DB0B358" w14:textId="4BB9F70B" w:rsidR="008D18C0" w:rsidRDefault="008D18C0" w:rsidP="001A3E5D">
      <w:pPr>
        <w:pStyle w:val="Heading4"/>
      </w:pPr>
      <w:r>
        <w:t>Modern slavery contract clauses</w:t>
      </w:r>
    </w:p>
    <w:p w14:paraId="7666741C" w14:textId="3FE57B1D" w:rsidR="00D41A3D" w:rsidRDefault="008D18C0" w:rsidP="008D18C0">
      <w:pPr>
        <w:pStyle w:val="NormalIndent"/>
        <w:ind w:left="0"/>
        <w:rPr>
          <w:lang w:eastAsia="en-AU"/>
        </w:rPr>
      </w:pPr>
      <w:r w:rsidRPr="5BE8D2BD">
        <w:rPr>
          <w:lang w:eastAsia="en-AU"/>
        </w:rPr>
        <w:t xml:space="preserve">By lodging a Tender, the Tenderer agrees that, if it is the successful Tenderer, it will comply with the modern slavery contract clauses at clause </w:t>
      </w:r>
      <w:r w:rsidRPr="5BE8D2BD">
        <w:rPr>
          <w:highlight w:val="lightGray"/>
          <w:lang w:eastAsia="en-AU"/>
        </w:rPr>
        <w:t>XX</w:t>
      </w:r>
      <w:r w:rsidRPr="5BE8D2BD">
        <w:rPr>
          <w:lang w:eastAsia="en-AU"/>
        </w:rPr>
        <w:t xml:space="preserve"> of the draft Contract in the Tender documents.  </w:t>
      </w:r>
    </w:p>
    <w:p w14:paraId="20045EDA" w14:textId="3DE618AF" w:rsidR="00D41A3D" w:rsidRDefault="00D41A3D" w:rsidP="001A3E5D">
      <w:pPr>
        <w:pStyle w:val="Heading4"/>
      </w:pPr>
      <w:r>
        <w:lastRenderedPageBreak/>
        <w:t>Price</w:t>
      </w:r>
    </w:p>
    <w:p w14:paraId="53757ED7" w14:textId="70292394" w:rsidR="008D18C0" w:rsidRPr="00D41A3D" w:rsidRDefault="00D41A3D" w:rsidP="008D18C0">
      <w:pPr>
        <w:pStyle w:val="NormalIndent"/>
        <w:ind w:left="0"/>
        <w:rPr>
          <w:lang w:eastAsia="en-AU"/>
        </w:rPr>
      </w:pPr>
      <w:r w:rsidRPr="5BE8D2BD">
        <w:rPr>
          <w:lang w:eastAsia="en-AU"/>
        </w:rPr>
        <w:t xml:space="preserve">By submitting a Tender, the Tenderer acknowledges and agrees that if it is awarded the Tender based on the pricing or compensation information it has submitted in its tender documents, this submitted pricing or compensation will support it to comply with its Core Obligations as defined in the modern slavery contract clause at clause </w:t>
      </w:r>
      <w:r w:rsidRPr="5BE8D2BD">
        <w:rPr>
          <w:highlight w:val="lightGray"/>
          <w:lang w:eastAsia="en-AU"/>
        </w:rPr>
        <w:t>XX</w:t>
      </w:r>
      <w:r w:rsidRPr="5BE8D2BD">
        <w:rPr>
          <w:lang w:eastAsia="en-AU"/>
        </w:rPr>
        <w:t xml:space="preserve"> of the draft Contract in the Tender documents.</w:t>
      </w:r>
    </w:p>
    <w:p w14:paraId="266D055D" w14:textId="2A622C4D" w:rsidR="008D18C0" w:rsidRDefault="00D41A3D" w:rsidP="001A3E5D">
      <w:pPr>
        <w:pStyle w:val="Heading4"/>
      </w:pPr>
      <w:r>
        <w:t>Evaluation</w:t>
      </w:r>
    </w:p>
    <w:p w14:paraId="657BFEE7" w14:textId="77777777" w:rsidR="00D41A3D" w:rsidRPr="00C13275" w:rsidRDefault="00D41A3D" w:rsidP="00D41A3D">
      <w:r w:rsidRPr="00C13275">
        <w:t xml:space="preserve">Tenders will be evaluated to determine the Tender which represents the best value for money to the Buyer.  </w:t>
      </w:r>
    </w:p>
    <w:p w14:paraId="60EEC300" w14:textId="77777777" w:rsidR="00D41A3D" w:rsidRPr="00C13275" w:rsidRDefault="00D41A3D" w:rsidP="00D41A3D">
      <w:r w:rsidRPr="00C13275">
        <w:t>In considering the Tender, the Buyer will apply the following evaluation criteria:</w:t>
      </w:r>
    </w:p>
    <w:p w14:paraId="42BBC419" w14:textId="77777777" w:rsidR="00D41A3D" w:rsidRPr="00C13275" w:rsidRDefault="00D41A3D" w:rsidP="00D41A3D">
      <w:r w:rsidRPr="00C13275">
        <w:rPr>
          <w:b/>
          <w:bCs/>
        </w:rPr>
        <w:t>Modern slavery</w:t>
      </w:r>
      <w:r w:rsidRPr="00C13275">
        <w:t xml:space="preserve"> </w:t>
      </w:r>
      <w:r w:rsidRPr="00C13275">
        <w:rPr>
          <w:b/>
        </w:rPr>
        <w:t>(</w:t>
      </w:r>
      <w:r w:rsidRPr="00C13275">
        <w:rPr>
          <w:b/>
          <w:i/>
        </w:rPr>
        <w:t>[</w:t>
      </w:r>
      <w:r w:rsidRPr="00D41A3D">
        <w:rPr>
          <w:b/>
          <w:i/>
          <w:highlight w:val="lightGray"/>
        </w:rPr>
        <w:t xml:space="preserve">INSERT 5 or </w:t>
      </w:r>
      <w:proofErr w:type="gramStart"/>
      <w:r w:rsidRPr="00D41A3D">
        <w:rPr>
          <w:b/>
          <w:i/>
          <w:highlight w:val="lightGray"/>
        </w:rPr>
        <w:t>10]%</w:t>
      </w:r>
      <w:proofErr w:type="gramEnd"/>
      <w:r w:rsidRPr="00D41A3D">
        <w:rPr>
          <w:b/>
          <w:highlight w:val="lightGray"/>
        </w:rPr>
        <w:t xml:space="preserve"> weighting</w:t>
      </w:r>
      <w:r w:rsidRPr="00C13275">
        <w:rPr>
          <w:b/>
        </w:rPr>
        <w:t>)</w:t>
      </w:r>
    </w:p>
    <w:p w14:paraId="385EB88B" w14:textId="77777777" w:rsidR="00D41A3D" w:rsidRPr="00C13275" w:rsidRDefault="00D41A3D" w:rsidP="00D41A3D">
      <w:r w:rsidRPr="00C13275">
        <w:t xml:space="preserve">The Tender will be evaluated with reference to whether it has demonstrated that it </w:t>
      </w:r>
      <w:proofErr w:type="gramStart"/>
      <w:r w:rsidRPr="00C13275">
        <w:t>is capable of taking</w:t>
      </w:r>
      <w:proofErr w:type="gramEnd"/>
      <w:r w:rsidRPr="00C13275">
        <w:t xml:space="preserve"> reasonable steps to identify, assess and address Modern Slavery in its operations and supply chain and ensure compliance with Modern Slavery Laws.</w:t>
      </w:r>
    </w:p>
    <w:p w14:paraId="4C9EC73D" w14:textId="6DA8854F" w:rsidR="008D18C0" w:rsidRDefault="00D41A3D" w:rsidP="00D41A3D">
      <w:pPr>
        <w:rPr>
          <w:bCs/>
        </w:rPr>
      </w:pPr>
      <w:r w:rsidRPr="00D41A3D">
        <w:rPr>
          <w:bCs/>
        </w:rPr>
        <w:t>[</w:t>
      </w:r>
      <w:r w:rsidRPr="00D41A3D">
        <w:rPr>
          <w:b/>
          <w:i/>
          <w:iCs/>
        </w:rPr>
        <w:t>Drafting note</w:t>
      </w:r>
      <w:r w:rsidRPr="00D41A3D">
        <w:rPr>
          <w:bCs/>
          <w:i/>
          <w:iCs/>
        </w:rPr>
        <w:t xml:space="preserve">: this clause is intended to supplement the existing evaluation clause in the tender </w:t>
      </w:r>
      <w:proofErr w:type="gramStart"/>
      <w:r w:rsidRPr="00D41A3D">
        <w:rPr>
          <w:bCs/>
          <w:i/>
          <w:iCs/>
        </w:rPr>
        <w:t>documents, and</w:t>
      </w:r>
      <w:proofErr w:type="gramEnd"/>
      <w:r w:rsidRPr="00D41A3D">
        <w:rPr>
          <w:bCs/>
          <w:i/>
          <w:iCs/>
        </w:rPr>
        <w:t xml:space="preserve"> should be adjusted for consistency with the tender documents in which these clauses will be inserted. The use of a weighted modern slavery tender evaluation clause is not mandatory and alternative evaluation criteria or clauses may be considered for the </w:t>
      </w:r>
      <w:proofErr w:type="gramStart"/>
      <w:r w:rsidRPr="00D41A3D">
        <w:rPr>
          <w:bCs/>
          <w:i/>
          <w:iCs/>
        </w:rPr>
        <w:t>particular tender</w:t>
      </w:r>
      <w:proofErr w:type="gramEnd"/>
      <w:r w:rsidRPr="00D41A3D">
        <w:rPr>
          <w:bCs/>
          <w:i/>
          <w:iCs/>
        </w:rPr>
        <w:t xml:space="preserve"> (for example, incorporating modern slavery within other ‘social’ criteria for high value and complex tenders)</w:t>
      </w:r>
      <w:r>
        <w:rPr>
          <w:bCs/>
          <w:i/>
          <w:iCs/>
        </w:rPr>
        <w:t>.</w:t>
      </w:r>
      <w:r w:rsidRPr="00D41A3D">
        <w:rPr>
          <w:bCs/>
        </w:rPr>
        <w:t>]</w:t>
      </w:r>
    </w:p>
    <w:p w14:paraId="75353856" w14:textId="77777777" w:rsidR="001B0E9D" w:rsidRPr="008D18C0" w:rsidRDefault="001B0E9D" w:rsidP="00D41A3D"/>
    <w:p w14:paraId="6865FE59" w14:textId="09D52EBF" w:rsidR="008D18C0" w:rsidRPr="008005B1" w:rsidRDefault="00D41A3D" w:rsidP="001A3E5D">
      <w:pPr>
        <w:pStyle w:val="Heading2"/>
      </w:pPr>
      <w:r w:rsidRPr="559262BB">
        <w:t xml:space="preserve">Tender </w:t>
      </w:r>
      <w:r w:rsidR="648FC18E" w:rsidRPr="559262BB">
        <w:t>s</w:t>
      </w:r>
      <w:r w:rsidRPr="559262BB">
        <w:t>chedule</w:t>
      </w:r>
    </w:p>
    <w:p w14:paraId="05242DE6" w14:textId="0571F439" w:rsidR="00784FDA" w:rsidRPr="00784FDA" w:rsidRDefault="00784FDA" w:rsidP="00784FDA">
      <w:pPr>
        <w:rPr>
          <w:b/>
          <w:bCs/>
        </w:rPr>
      </w:pPr>
      <w:r w:rsidRPr="00784FDA">
        <w:rPr>
          <w:b/>
          <w:bCs/>
        </w:rPr>
        <w:t xml:space="preserve">Question: The Tenderer is to provide details of the reasonable steps it takes to identify, </w:t>
      </w:r>
      <w:proofErr w:type="gramStart"/>
      <w:r w:rsidRPr="00784FDA">
        <w:rPr>
          <w:b/>
          <w:bCs/>
        </w:rPr>
        <w:t>assess</w:t>
      </w:r>
      <w:proofErr w:type="gramEnd"/>
      <w:r w:rsidRPr="00784FDA">
        <w:rPr>
          <w:b/>
          <w:bCs/>
        </w:rPr>
        <w:t xml:space="preserve"> and address Modern Slavery in its operations and supply chain and ensure compliance with Modern Slavery Laws.</w:t>
      </w:r>
    </w:p>
    <w:p w14:paraId="4BA64A6D" w14:textId="77777777" w:rsidR="00784FDA" w:rsidRPr="00784FDA" w:rsidRDefault="00784FDA" w:rsidP="00784FDA">
      <w:r w:rsidRPr="00784FDA">
        <w:rPr>
          <w:b/>
          <w:bCs/>
        </w:rPr>
        <w:t>Note</w:t>
      </w:r>
      <w:r w:rsidRPr="00784FDA">
        <w:t xml:space="preserve">: reasonable steps </w:t>
      </w:r>
      <w:proofErr w:type="gramStart"/>
      <w:r w:rsidRPr="00784FDA">
        <w:t>means</w:t>
      </w:r>
      <w:proofErr w:type="gramEnd"/>
      <w:r w:rsidRPr="00784FDA">
        <w:t xml:space="preserve"> those steps that are reasonable in the circumstances to prevent, identify, mitigate and remedy modern slavery. In answering the tender schedule, the Tender may refer to the NSW Anti-slavery Commissioner’s Guidance on Reasonable Steps and related information and resources published by the ASC.</w:t>
      </w:r>
    </w:p>
    <w:p w14:paraId="7240414F" w14:textId="45820A3E" w:rsidR="00784FDA" w:rsidRPr="00784FDA" w:rsidRDefault="00784FDA" w:rsidP="00784FDA">
      <w:pPr>
        <w:rPr>
          <w:b/>
          <w:bCs/>
        </w:rPr>
      </w:pPr>
      <w:r w:rsidRPr="00784FDA">
        <w:rPr>
          <w:b/>
          <w:bCs/>
        </w:rPr>
        <w:t>Answer: [Tenderer to provide details below]</w:t>
      </w:r>
    </w:p>
    <w:p w14:paraId="1B66BE59" w14:textId="77777777" w:rsidR="001B0E9D" w:rsidRDefault="001B0E9D">
      <w:pPr>
        <w:spacing w:before="0" w:after="160" w:line="259" w:lineRule="auto"/>
        <w:rPr>
          <w:rFonts w:eastAsia="SimHei" w:cs="Arial"/>
          <w:b/>
          <w:bCs/>
          <w:iCs/>
          <w:color w:val="22272B" w:themeColor="text1"/>
          <w:sz w:val="24"/>
          <w:lang w:eastAsia="zh-CN"/>
        </w:rPr>
      </w:pPr>
      <w:r>
        <w:rPr>
          <w:rFonts w:eastAsia="SimHei" w:cs="Arial"/>
          <w:b/>
          <w:bCs/>
          <w:iCs/>
          <w:color w:val="22272B" w:themeColor="text1"/>
          <w:sz w:val="24"/>
          <w:lang w:eastAsia="zh-CN"/>
        </w:rPr>
        <w:br w:type="page"/>
      </w:r>
    </w:p>
    <w:p w14:paraId="656B4F4F" w14:textId="2D4717BF" w:rsidR="00E4592B" w:rsidRDefault="00E4592B" w:rsidP="001A3E5D">
      <w:pPr>
        <w:pStyle w:val="Heading2"/>
      </w:pPr>
      <w:r w:rsidRPr="00F54A7D">
        <w:lastRenderedPageBreak/>
        <w:t xml:space="preserve">Guidance on use </w:t>
      </w:r>
    </w:p>
    <w:p w14:paraId="638CCD28" w14:textId="6268D330" w:rsidR="000F0A8C" w:rsidRPr="000F0A8C" w:rsidRDefault="000F0A8C" w:rsidP="00D82FAA">
      <w:pPr>
        <w:pStyle w:val="Heading3"/>
        <w:numPr>
          <w:ilvl w:val="0"/>
          <w:numId w:val="0"/>
        </w:numPr>
        <w:ind w:left="709" w:hanging="709"/>
      </w:pPr>
      <w:r w:rsidRPr="000F0A8C">
        <w:t>General Guidance</w:t>
      </w:r>
    </w:p>
    <w:p w14:paraId="2D05E589" w14:textId="04B81E2C" w:rsidR="000F0A8C" w:rsidRPr="000F0A8C" w:rsidRDefault="000F0A8C" w:rsidP="000F0A8C">
      <w:pPr>
        <w:rPr>
          <w:lang w:eastAsia="zh-CN"/>
        </w:rPr>
      </w:pPr>
      <w:r w:rsidRPr="000F0A8C">
        <w:rPr>
          <w:lang w:eastAsia="zh-CN"/>
        </w:rPr>
        <w:t xml:space="preserve">Modern slavery tender clauses and schedules should be proportionate and not impose any unnecessary burdens that would deter a wide diversity of suppliers, including small and medium sized enterprises (SMEs) and Aboriginal and Torres Strait Islander entities from bidding for government contracts. The model tender clauses should be adjusted for consistency with the tender documents, including </w:t>
      </w:r>
      <w:proofErr w:type="gramStart"/>
      <w:r w:rsidRPr="000F0A8C">
        <w:rPr>
          <w:lang w:eastAsia="zh-CN"/>
        </w:rPr>
        <w:t>in particular the</w:t>
      </w:r>
      <w:proofErr w:type="gramEnd"/>
      <w:r w:rsidRPr="000F0A8C">
        <w:rPr>
          <w:lang w:eastAsia="zh-CN"/>
        </w:rPr>
        <w:t xml:space="preserve"> evaluation clauses.</w:t>
      </w:r>
    </w:p>
    <w:p w14:paraId="56439169" w14:textId="77777777" w:rsidR="000F0A8C" w:rsidRPr="000F0A8C" w:rsidRDefault="000F0A8C" w:rsidP="000F0A8C">
      <w:pPr>
        <w:rPr>
          <w:lang w:eastAsia="zh-CN"/>
        </w:rPr>
      </w:pPr>
      <w:r w:rsidRPr="000F0A8C">
        <w:rPr>
          <w:lang w:eastAsia="zh-CN"/>
        </w:rPr>
        <w:t xml:space="preserve">Buyers should refer to the </w:t>
      </w:r>
      <w:r w:rsidRPr="000F0A8C">
        <w:rPr>
          <w:i/>
          <w:iCs/>
          <w:lang w:eastAsia="zh-CN"/>
        </w:rPr>
        <w:t xml:space="preserve">NSW Anti-slavery Commissioner’s Guidance on Reasonable Steps (‘GRS’) </w:t>
      </w:r>
      <w:r w:rsidRPr="000F0A8C">
        <w:rPr>
          <w:lang w:eastAsia="zh-CN"/>
        </w:rPr>
        <w:t xml:space="preserve">to inform their assessment of Tenderer’s responses.  </w:t>
      </w:r>
    </w:p>
    <w:p w14:paraId="75C06F76" w14:textId="76F73AB9" w:rsidR="000F0A8C" w:rsidRPr="000F0A8C" w:rsidRDefault="000F0A8C" w:rsidP="00D82FAA">
      <w:pPr>
        <w:pStyle w:val="Heading3"/>
        <w:numPr>
          <w:ilvl w:val="0"/>
          <w:numId w:val="0"/>
        </w:numPr>
        <w:ind w:left="709" w:hanging="709"/>
      </w:pPr>
      <w:r w:rsidRPr="000F0A8C">
        <w:t xml:space="preserve">Use and adaptation of </w:t>
      </w:r>
      <w:proofErr w:type="gramStart"/>
      <w:r w:rsidRPr="000F0A8C">
        <w:t>MTCs</w:t>
      </w:r>
      <w:proofErr w:type="gramEnd"/>
    </w:p>
    <w:p w14:paraId="3D64CC3B" w14:textId="5D1D80C6" w:rsidR="000F0A8C" w:rsidRPr="000F0A8C" w:rsidRDefault="000F0A8C" w:rsidP="000F0A8C">
      <w:pPr>
        <w:rPr>
          <w:lang w:eastAsia="zh-CN"/>
        </w:rPr>
      </w:pPr>
      <w:r w:rsidRPr="000F0A8C">
        <w:rPr>
          <w:lang w:eastAsia="zh-CN"/>
        </w:rPr>
        <w:t>For</w:t>
      </w:r>
      <w:r w:rsidRPr="000F0A8C">
        <w:rPr>
          <w:i/>
          <w:iCs/>
          <w:lang w:eastAsia="zh-CN"/>
        </w:rPr>
        <w:t xml:space="preserve"> Heightened</w:t>
      </w:r>
      <w:r w:rsidRPr="000F0A8C">
        <w:rPr>
          <w:lang w:eastAsia="zh-CN"/>
        </w:rPr>
        <w:t xml:space="preserve"> modern slavery due diligence procurements, there is an expectation that the MTCs are used in some form.</w:t>
      </w:r>
    </w:p>
    <w:p w14:paraId="591F8AF5" w14:textId="5EFBD42A" w:rsidR="000F0A8C" w:rsidRDefault="000F0A8C" w:rsidP="000F0A8C">
      <w:pPr>
        <w:rPr>
          <w:lang w:eastAsia="zh-CN"/>
        </w:rPr>
      </w:pPr>
      <w:r w:rsidRPr="000F0A8C">
        <w:rPr>
          <w:lang w:eastAsia="zh-CN"/>
        </w:rPr>
        <w:t xml:space="preserve">The MTCs including the evaluation clause, are intended to supplement the existing clauses in the tender </w:t>
      </w:r>
      <w:proofErr w:type="gramStart"/>
      <w:r w:rsidRPr="000F0A8C">
        <w:rPr>
          <w:lang w:eastAsia="zh-CN"/>
        </w:rPr>
        <w:t>documents, and</w:t>
      </w:r>
      <w:proofErr w:type="gramEnd"/>
      <w:r w:rsidRPr="000F0A8C">
        <w:rPr>
          <w:lang w:eastAsia="zh-CN"/>
        </w:rPr>
        <w:t xml:space="preserve"> should be adjusted for consistency with the tender documents in which the clauses will be inserted. The use of a weighted modern slavery tender evaluation clause is not mandatory and alternative evaluation criteria or clauses may be considered for the </w:t>
      </w:r>
      <w:proofErr w:type="gramStart"/>
      <w:r w:rsidRPr="000F0A8C">
        <w:rPr>
          <w:lang w:eastAsia="zh-CN"/>
        </w:rPr>
        <w:t>particular tender</w:t>
      </w:r>
      <w:proofErr w:type="gramEnd"/>
      <w:r w:rsidRPr="000F0A8C">
        <w:rPr>
          <w:lang w:eastAsia="zh-CN"/>
        </w:rPr>
        <w:t xml:space="preserve"> (for example, incorporating modern slavery within other ‘social’ criteria for high value and complex tenders)].</w:t>
      </w:r>
    </w:p>
    <w:p w14:paraId="1438EBD8" w14:textId="6E77CE89" w:rsidR="000F0A8C" w:rsidRPr="007807E8" w:rsidRDefault="007807E8" w:rsidP="00D82FAA">
      <w:pPr>
        <w:pStyle w:val="Heading3"/>
        <w:numPr>
          <w:ilvl w:val="0"/>
          <w:numId w:val="0"/>
        </w:numPr>
        <w:ind w:left="709" w:hanging="709"/>
      </w:pPr>
      <w:r w:rsidRPr="007807E8">
        <w:t>Evaluation Criteria</w:t>
      </w:r>
    </w:p>
    <w:p w14:paraId="2A78767B" w14:textId="42D90BE4" w:rsidR="007807E8" w:rsidRPr="007807E8" w:rsidRDefault="007807E8" w:rsidP="007807E8">
      <w:pPr>
        <w:rPr>
          <w:lang w:eastAsia="zh-CN"/>
        </w:rPr>
      </w:pPr>
      <w:r w:rsidRPr="007807E8">
        <w:rPr>
          <w:lang w:eastAsia="zh-CN"/>
        </w:rPr>
        <w:t xml:space="preserve">For </w:t>
      </w:r>
      <w:r w:rsidRPr="007807E8">
        <w:rPr>
          <w:i/>
          <w:iCs/>
          <w:lang w:eastAsia="zh-CN"/>
        </w:rPr>
        <w:t>Heightened Due Diligence</w:t>
      </w:r>
      <w:r w:rsidRPr="007807E8">
        <w:rPr>
          <w:lang w:eastAsia="zh-CN"/>
        </w:rPr>
        <w:t xml:space="preserve"> procurements, modern slavery weighted evaluation criteria are recommended to 1) encourage Tenderers to provide more extensive responses to the tender schedule to allow the Buyer to undertake more extensive due diligence on the Tenderers and 2) allow Buyers to factor the Tenderer’s modern slavery response into the overall weighted score of the Tenderer, and into contracting. </w:t>
      </w:r>
    </w:p>
    <w:p w14:paraId="6A6606FA" w14:textId="77777777" w:rsidR="007807E8" w:rsidRPr="007807E8" w:rsidRDefault="007807E8" w:rsidP="007807E8">
      <w:pPr>
        <w:rPr>
          <w:lang w:eastAsia="zh-CN"/>
        </w:rPr>
      </w:pPr>
      <w:r w:rsidRPr="007807E8">
        <w:rPr>
          <w:lang w:eastAsia="zh-CN"/>
        </w:rPr>
        <w:t>Buyers should:</w:t>
      </w:r>
    </w:p>
    <w:p w14:paraId="67268ACC" w14:textId="77777777" w:rsidR="007807E8" w:rsidRPr="007807E8" w:rsidRDefault="007807E8" w:rsidP="007807E8">
      <w:pPr>
        <w:numPr>
          <w:ilvl w:val="0"/>
          <w:numId w:val="13"/>
        </w:numPr>
        <w:tabs>
          <w:tab w:val="num" w:pos="357"/>
        </w:tabs>
        <w:rPr>
          <w:lang w:eastAsia="zh-CN"/>
        </w:rPr>
      </w:pPr>
      <w:r w:rsidRPr="007807E8">
        <w:rPr>
          <w:lang w:eastAsia="zh-CN"/>
        </w:rPr>
        <w:t xml:space="preserve">assess and score the quality of the responses of the modern slavery tender schedule, as they would do for any other weighted evaluation criteria in accordance with the tender documents and tender evaluation </w:t>
      </w:r>
      <w:proofErr w:type="gramStart"/>
      <w:r w:rsidRPr="007807E8">
        <w:rPr>
          <w:lang w:eastAsia="zh-CN"/>
        </w:rPr>
        <w:t>guide;</w:t>
      </w:r>
      <w:proofErr w:type="gramEnd"/>
    </w:p>
    <w:p w14:paraId="4CA7961D" w14:textId="77777777" w:rsidR="007807E8" w:rsidRPr="007807E8" w:rsidRDefault="007807E8" w:rsidP="007807E8">
      <w:pPr>
        <w:numPr>
          <w:ilvl w:val="0"/>
          <w:numId w:val="13"/>
        </w:numPr>
        <w:tabs>
          <w:tab w:val="num" w:pos="357"/>
        </w:tabs>
        <w:rPr>
          <w:lang w:eastAsia="zh-CN"/>
        </w:rPr>
      </w:pPr>
      <w:r w:rsidRPr="007807E8">
        <w:rPr>
          <w:lang w:eastAsia="zh-CN"/>
        </w:rPr>
        <w:t xml:space="preserve">refer to the </w:t>
      </w:r>
      <w:r w:rsidRPr="007807E8">
        <w:rPr>
          <w:i/>
          <w:iCs/>
          <w:lang w:eastAsia="zh-CN"/>
        </w:rPr>
        <w:t xml:space="preserve">NSW Anti-slavery Commissioner’s Guidance on Reasonable Steps (‘GRS’) </w:t>
      </w:r>
      <w:r w:rsidRPr="007807E8">
        <w:rPr>
          <w:lang w:eastAsia="zh-CN"/>
        </w:rPr>
        <w:t xml:space="preserve">to inform their assessment of tenderer’s </w:t>
      </w:r>
      <w:proofErr w:type="gramStart"/>
      <w:r w:rsidRPr="007807E8">
        <w:rPr>
          <w:lang w:eastAsia="zh-CN"/>
        </w:rPr>
        <w:t>responses;</w:t>
      </w:r>
      <w:proofErr w:type="gramEnd"/>
    </w:p>
    <w:p w14:paraId="4CF38048" w14:textId="5436C6DA" w:rsidR="007807E8" w:rsidRDefault="007807E8" w:rsidP="00B01353">
      <w:pPr>
        <w:numPr>
          <w:ilvl w:val="0"/>
          <w:numId w:val="13"/>
        </w:numPr>
        <w:tabs>
          <w:tab w:val="num" w:pos="357"/>
        </w:tabs>
        <w:rPr>
          <w:lang w:eastAsia="zh-CN"/>
        </w:rPr>
      </w:pPr>
      <w:r w:rsidRPr="007807E8">
        <w:rPr>
          <w:lang w:eastAsia="zh-CN"/>
        </w:rPr>
        <w:t>establish an effective scoring approach to suit the procurement and allow clear differentiation between tenderers’ responses to the modern slavery criteria. For example, under the 5-band scoring regime below the optimal tender response could score 5 (Excellent), whilst a non-response or complete failure to meet the required standard would score 0 (Fail). The scoring methodology of the modern slavery evaluation criteria must be consistent with the evaluation process set out in the tender documents.</w:t>
      </w:r>
    </w:p>
    <w:p w14:paraId="6953A268" w14:textId="3C3D3525" w:rsidR="000F0A8C" w:rsidRPr="007807E8" w:rsidRDefault="007807E8" w:rsidP="00D82FAA">
      <w:pPr>
        <w:pStyle w:val="Heading3"/>
        <w:numPr>
          <w:ilvl w:val="0"/>
          <w:numId w:val="0"/>
        </w:numPr>
        <w:ind w:left="709" w:hanging="709"/>
      </w:pPr>
      <w:r w:rsidRPr="007807E8">
        <w:t>Evaluation Guidance</w:t>
      </w:r>
    </w:p>
    <w:p w14:paraId="7CC138B8" w14:textId="0A7B3A5E" w:rsidR="00E4592B" w:rsidRPr="00B01353" w:rsidRDefault="007807E8" w:rsidP="00B01353">
      <w:pPr>
        <w:rPr>
          <w:lang w:eastAsia="zh-CN"/>
        </w:rPr>
      </w:pPr>
      <w:r w:rsidRPr="007807E8">
        <w:rPr>
          <w:lang w:eastAsia="zh-CN"/>
        </w:rPr>
        <w:t>See below example.  The evaluation of the modern slavery evaluation criteria must be consistent with the evaluation process set out in the tender documents.</w:t>
      </w:r>
    </w:p>
    <w:p w14:paraId="04E85AFC" w14:textId="77777777" w:rsidR="00B01353" w:rsidRDefault="00B01353" w:rsidP="00E4592B">
      <w:pPr>
        <w:suppressAutoHyphens/>
        <w:spacing w:after="120" w:line="240" w:lineRule="auto"/>
        <w:rPr>
          <w:rFonts w:ascii="Calibri" w:eastAsia="Calibri" w:hAnsi="Calibri" w:cs="Calibri"/>
          <w:color w:val="FF0000"/>
          <w:szCs w:val="20"/>
          <w:lang w:eastAsia="zh-CN"/>
        </w:rPr>
        <w:sectPr w:rsidR="00B01353" w:rsidSect="006A43ED">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18" w:header="708" w:footer="780" w:gutter="0"/>
          <w:cols w:space="708"/>
          <w:docGrid w:linePitch="360"/>
        </w:sectPr>
      </w:pPr>
    </w:p>
    <w:p w14:paraId="6FAF5682" w14:textId="53FA694E" w:rsidR="00E4592B" w:rsidRPr="00165B64" w:rsidRDefault="00B01353" w:rsidP="001A3E5D">
      <w:pPr>
        <w:pStyle w:val="Heading2"/>
      </w:pPr>
      <w:r>
        <w:lastRenderedPageBreak/>
        <w:t>Evaluation Guidance</w:t>
      </w:r>
      <w:r w:rsidR="00D07569">
        <w:t xml:space="preserve"> for Heightened</w:t>
      </w:r>
      <w:r w:rsidR="006B053E" w:rsidRPr="006B053E">
        <w:t xml:space="preserve"> modern slavery due diligence </w:t>
      </w:r>
      <w:proofErr w:type="gramStart"/>
      <w:r w:rsidR="006B053E" w:rsidRPr="006B053E">
        <w:t>procurements</w:t>
      </w:r>
      <w:proofErr w:type="gramEnd"/>
    </w:p>
    <w:tbl>
      <w:tblPr>
        <w:tblStyle w:val="ListTable3-Accent33"/>
        <w:tblW w:w="0" w:type="auto"/>
        <w:tblInd w:w="0" w:type="dxa"/>
        <w:tblBorders>
          <w:top w:val="single" w:sz="2" w:space="0" w:color="22272B" w:themeColor="text1"/>
          <w:left w:val="single" w:sz="2" w:space="0" w:color="22272B" w:themeColor="text1"/>
          <w:bottom w:val="single" w:sz="2" w:space="0" w:color="22272B" w:themeColor="text1"/>
          <w:right w:val="single" w:sz="2" w:space="0" w:color="22272B" w:themeColor="text1"/>
          <w:insideH w:val="single" w:sz="2" w:space="0" w:color="22272B" w:themeColor="text1"/>
          <w:insideV w:val="single" w:sz="2" w:space="0" w:color="22272B" w:themeColor="text1"/>
        </w:tblBorders>
        <w:tblLook w:val="04A0" w:firstRow="1" w:lastRow="0" w:firstColumn="1" w:lastColumn="0" w:noHBand="0" w:noVBand="1"/>
      </w:tblPr>
      <w:tblGrid>
        <w:gridCol w:w="12328"/>
        <w:gridCol w:w="1620"/>
      </w:tblGrid>
      <w:tr w:rsidR="00E4592B" w:rsidRPr="00F54A7D" w14:paraId="5FE33D21" w14:textId="77777777" w:rsidTr="00F54A7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13948" w:type="dxa"/>
            <w:gridSpan w:val="2"/>
            <w:tcBorders>
              <w:top w:val="none" w:sz="0" w:space="0" w:color="auto"/>
              <w:left w:val="none" w:sz="0" w:space="0" w:color="auto"/>
              <w:bottom w:val="none" w:sz="0" w:space="0" w:color="auto"/>
              <w:right w:val="none" w:sz="0" w:space="0" w:color="auto"/>
            </w:tcBorders>
            <w:shd w:val="clear" w:color="auto" w:fill="D9D9D9" w:themeFill="background1" w:themeFillShade="D9"/>
            <w:hideMark/>
          </w:tcPr>
          <w:p w14:paraId="7749A8F2" w14:textId="77777777" w:rsidR="00E4592B" w:rsidRPr="00F54A7D" w:rsidRDefault="00E4592B" w:rsidP="00E4592B">
            <w:pPr>
              <w:suppressAutoHyphens/>
              <w:ind w:right="677"/>
              <w:rPr>
                <w:rFonts w:eastAsia="Calibri" w:cs="Arial"/>
                <w:color w:val="auto"/>
                <w:sz w:val="19"/>
                <w:szCs w:val="19"/>
              </w:rPr>
            </w:pPr>
            <w:r w:rsidRPr="00F54A7D">
              <w:rPr>
                <w:rFonts w:eastAsia="Calibri" w:cs="Arial"/>
                <w:color w:val="auto"/>
                <w:sz w:val="19"/>
                <w:szCs w:val="19"/>
              </w:rPr>
              <w:t xml:space="preserve">Requirement </w:t>
            </w:r>
          </w:p>
        </w:tc>
      </w:tr>
      <w:tr w:rsidR="00E4592B" w:rsidRPr="00F54A7D" w14:paraId="4876E986" w14:textId="77777777" w:rsidTr="00F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948" w:type="dxa"/>
            <w:gridSpan w:val="2"/>
            <w:tcBorders>
              <w:top w:val="none" w:sz="0" w:space="0" w:color="auto"/>
              <w:left w:val="none" w:sz="0" w:space="0" w:color="auto"/>
              <w:bottom w:val="none" w:sz="0" w:space="0" w:color="auto"/>
              <w:right w:val="none" w:sz="0" w:space="0" w:color="auto"/>
            </w:tcBorders>
            <w:hideMark/>
          </w:tcPr>
          <w:p w14:paraId="2BAD0683" w14:textId="77777777" w:rsidR="00E4592B" w:rsidRPr="00F54A7D" w:rsidRDefault="00E4592B" w:rsidP="00E4592B">
            <w:pPr>
              <w:suppressAutoHyphens/>
              <w:ind w:right="677"/>
              <w:rPr>
                <w:rFonts w:eastAsia="Calibri" w:cs="Arial"/>
                <w:sz w:val="19"/>
                <w:szCs w:val="19"/>
              </w:rPr>
            </w:pPr>
            <w:r w:rsidRPr="00F54A7D">
              <w:rPr>
                <w:rFonts w:eastAsia="Calibri" w:cs="Arial"/>
                <w:sz w:val="19"/>
                <w:szCs w:val="19"/>
              </w:rPr>
              <w:t xml:space="preserve">The Tender will be evaluated with reference to whether it has demonstrated that it </w:t>
            </w:r>
            <w:proofErr w:type="gramStart"/>
            <w:r w:rsidRPr="00F54A7D">
              <w:rPr>
                <w:rFonts w:eastAsia="Calibri" w:cs="Arial"/>
                <w:sz w:val="19"/>
                <w:szCs w:val="19"/>
              </w:rPr>
              <w:t>is capable of taking</w:t>
            </w:r>
            <w:proofErr w:type="gramEnd"/>
            <w:r w:rsidRPr="00F54A7D">
              <w:rPr>
                <w:rFonts w:eastAsia="Calibri" w:cs="Arial"/>
                <w:sz w:val="19"/>
                <w:szCs w:val="19"/>
              </w:rPr>
              <w:t xml:space="preserve"> reasonable steps to identify, assess and address Modern Slavery in its operations and supply chain and ensure compliance with Modern Slavery Laws.</w:t>
            </w:r>
          </w:p>
          <w:p w14:paraId="27DF9C2B" w14:textId="77777777" w:rsidR="00E4592B" w:rsidRPr="00F54A7D" w:rsidRDefault="00E4592B" w:rsidP="00E4592B">
            <w:pPr>
              <w:suppressAutoHyphens/>
              <w:ind w:right="677"/>
              <w:rPr>
                <w:rFonts w:eastAsia="Calibri" w:cs="Arial"/>
                <w:b/>
                <w:sz w:val="19"/>
                <w:szCs w:val="19"/>
              </w:rPr>
            </w:pPr>
            <w:r w:rsidRPr="00F54A7D">
              <w:rPr>
                <w:rFonts w:eastAsia="Calibri" w:cs="Arial"/>
                <w:b/>
                <w:sz w:val="19"/>
                <w:szCs w:val="19"/>
              </w:rPr>
              <w:t xml:space="preserve">Has the Tenderer demonstrated that it </w:t>
            </w:r>
            <w:proofErr w:type="gramStart"/>
            <w:r w:rsidRPr="00F54A7D">
              <w:rPr>
                <w:rFonts w:eastAsia="Calibri" w:cs="Arial"/>
                <w:b/>
                <w:sz w:val="19"/>
                <w:szCs w:val="19"/>
              </w:rPr>
              <w:t>is capable of taking</w:t>
            </w:r>
            <w:proofErr w:type="gramEnd"/>
            <w:r w:rsidRPr="00F54A7D">
              <w:rPr>
                <w:rFonts w:eastAsia="Calibri" w:cs="Arial"/>
                <w:b/>
                <w:sz w:val="19"/>
                <w:szCs w:val="19"/>
              </w:rPr>
              <w:t xml:space="preserve"> reasonable steps to identify, assess and address Modern Slavery in its operations and supply chain and ensure compliance with Modern Slavery Laws?</w:t>
            </w:r>
          </w:p>
        </w:tc>
      </w:tr>
      <w:tr w:rsidR="00E4592B" w:rsidRPr="00F54A7D" w14:paraId="4AA3FB31" w14:textId="77777777" w:rsidTr="00F54A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8" w:type="dxa"/>
            <w:tcBorders>
              <w:top w:val="none" w:sz="0" w:space="0" w:color="auto"/>
              <w:left w:val="none" w:sz="0" w:space="0" w:color="auto"/>
              <w:bottom w:val="none" w:sz="0" w:space="0" w:color="auto"/>
              <w:right w:val="none" w:sz="0" w:space="0" w:color="auto"/>
            </w:tcBorders>
            <w:hideMark/>
          </w:tcPr>
          <w:p w14:paraId="14E99399" w14:textId="77777777" w:rsidR="00E4592B" w:rsidRPr="00F54A7D" w:rsidRDefault="00E4592B" w:rsidP="00E4592B">
            <w:pPr>
              <w:suppressAutoHyphens/>
              <w:ind w:right="677"/>
              <w:rPr>
                <w:rFonts w:eastAsia="Calibri" w:cs="Arial"/>
                <w:b/>
                <w:i/>
                <w:iCs/>
                <w:sz w:val="19"/>
                <w:szCs w:val="19"/>
              </w:rPr>
            </w:pPr>
            <w:r w:rsidRPr="00F54A7D">
              <w:rPr>
                <w:rFonts w:eastAsia="Calibri" w:cs="Arial"/>
                <w:b/>
                <w:i/>
                <w:iCs/>
                <w:sz w:val="19"/>
                <w:szCs w:val="19"/>
              </w:rPr>
              <w:t xml:space="preserve">Assessment against the evaluation criteria </w:t>
            </w:r>
          </w:p>
        </w:tc>
        <w:tc>
          <w:tcPr>
            <w:tcW w:w="1620" w:type="dxa"/>
            <w:tcBorders>
              <w:top w:val="none" w:sz="0" w:space="0" w:color="auto"/>
              <w:left w:val="none" w:sz="0" w:space="0" w:color="auto"/>
              <w:bottom w:val="none" w:sz="0" w:space="0" w:color="auto"/>
              <w:right w:val="none" w:sz="0" w:space="0" w:color="auto"/>
            </w:tcBorders>
            <w:hideMark/>
          </w:tcPr>
          <w:p w14:paraId="5FD006DB" w14:textId="77777777" w:rsidR="00E4592B" w:rsidRPr="00F54A7D" w:rsidRDefault="00E4592B" w:rsidP="00E4592B">
            <w:pPr>
              <w:suppressAutoHyphens/>
              <w:ind w:right="677"/>
              <w:cnfStyle w:val="000000010000" w:firstRow="0" w:lastRow="0" w:firstColumn="0" w:lastColumn="0" w:oddVBand="0" w:evenVBand="0" w:oddHBand="0" w:evenHBand="1" w:firstRowFirstColumn="0" w:firstRowLastColumn="0" w:lastRowFirstColumn="0" w:lastRowLastColumn="0"/>
              <w:rPr>
                <w:rFonts w:eastAsia="Calibri" w:cs="Arial"/>
                <w:b/>
                <w:bCs/>
                <w:i/>
                <w:iCs/>
                <w:sz w:val="19"/>
                <w:szCs w:val="19"/>
              </w:rPr>
            </w:pPr>
            <w:r w:rsidRPr="00F54A7D">
              <w:rPr>
                <w:rFonts w:eastAsia="Calibri" w:cs="Arial"/>
                <w:b/>
                <w:bCs/>
                <w:i/>
                <w:iCs/>
                <w:sz w:val="19"/>
                <w:szCs w:val="19"/>
              </w:rPr>
              <w:t>Score</w:t>
            </w:r>
          </w:p>
        </w:tc>
      </w:tr>
      <w:tr w:rsidR="00E4592B" w:rsidRPr="00F54A7D" w14:paraId="4F152118" w14:textId="77777777" w:rsidTr="00F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8" w:type="dxa"/>
            <w:tcBorders>
              <w:top w:val="none" w:sz="0" w:space="0" w:color="auto"/>
              <w:left w:val="none" w:sz="0" w:space="0" w:color="auto"/>
              <w:bottom w:val="none" w:sz="0" w:space="0" w:color="auto"/>
              <w:right w:val="none" w:sz="0" w:space="0" w:color="auto"/>
            </w:tcBorders>
            <w:hideMark/>
          </w:tcPr>
          <w:p w14:paraId="0FE85567" w14:textId="77777777" w:rsidR="00E4592B" w:rsidRPr="00F54A7D" w:rsidRDefault="00E4592B" w:rsidP="00E4592B">
            <w:pPr>
              <w:suppressAutoHyphens/>
              <w:ind w:right="677"/>
              <w:rPr>
                <w:rFonts w:eastAsia="Calibri" w:cs="Arial"/>
                <w:sz w:val="19"/>
                <w:szCs w:val="19"/>
              </w:rPr>
            </w:pPr>
            <w:r w:rsidRPr="00F54A7D">
              <w:rPr>
                <w:rFonts w:eastAsia="Calibri" w:cs="Arial"/>
                <w:b/>
                <w:sz w:val="19"/>
                <w:szCs w:val="19"/>
              </w:rPr>
              <w:t xml:space="preserve">Excellent: </w:t>
            </w:r>
            <w:r w:rsidRPr="00F54A7D">
              <w:rPr>
                <w:rFonts w:eastAsia="Calibri" w:cs="Arial"/>
                <w:sz w:val="19"/>
                <w:szCs w:val="19"/>
              </w:rPr>
              <w:t xml:space="preserve">the response exceeds what is expected for the modern slavery criteria. </w:t>
            </w:r>
          </w:p>
          <w:p w14:paraId="5F2118A6" w14:textId="77777777" w:rsidR="00E4592B" w:rsidRPr="00F54A7D" w:rsidRDefault="00E4592B" w:rsidP="00E4592B">
            <w:pPr>
              <w:suppressAutoHyphens/>
              <w:ind w:right="677"/>
              <w:rPr>
                <w:rFonts w:eastAsia="Calibri" w:cs="Arial"/>
                <w:sz w:val="19"/>
                <w:szCs w:val="19"/>
              </w:rPr>
            </w:pPr>
            <w:r w:rsidRPr="00F54A7D">
              <w:rPr>
                <w:rFonts w:eastAsia="Calibri" w:cs="Arial"/>
                <w:sz w:val="19"/>
                <w:szCs w:val="19"/>
              </w:rPr>
              <w:t xml:space="preserve">The response therefore shows: </w:t>
            </w:r>
          </w:p>
          <w:p w14:paraId="13BB760B" w14:textId="77777777" w:rsidR="00E4592B" w:rsidRPr="00F54A7D" w:rsidRDefault="00E4592B" w:rsidP="00E4592B">
            <w:pPr>
              <w:numPr>
                <w:ilvl w:val="0"/>
                <w:numId w:val="8"/>
              </w:numPr>
              <w:suppressAutoHyphens/>
              <w:ind w:right="677"/>
              <w:contextualSpacing/>
              <w:rPr>
                <w:rFonts w:eastAsia="Times New Roman" w:cs="Arial"/>
                <w:sz w:val="19"/>
                <w:szCs w:val="19"/>
              </w:rPr>
            </w:pPr>
            <w:r w:rsidRPr="00F54A7D">
              <w:rPr>
                <w:rFonts w:eastAsia="Times New Roman" w:cs="Arial"/>
                <w:sz w:val="19"/>
                <w:szCs w:val="19"/>
              </w:rPr>
              <w:t xml:space="preserve">Excellent understanding of the reasonable steps required to identify, </w:t>
            </w:r>
            <w:proofErr w:type="gramStart"/>
            <w:r w:rsidRPr="00F54A7D">
              <w:rPr>
                <w:rFonts w:eastAsia="Times New Roman" w:cs="Arial"/>
                <w:sz w:val="19"/>
                <w:szCs w:val="19"/>
              </w:rPr>
              <w:t>assess</w:t>
            </w:r>
            <w:proofErr w:type="gramEnd"/>
            <w:r w:rsidRPr="00F54A7D">
              <w:rPr>
                <w:rFonts w:eastAsia="Times New Roman" w:cs="Arial"/>
                <w:sz w:val="19"/>
                <w:szCs w:val="19"/>
              </w:rPr>
              <w:t xml:space="preserve"> and address Modern Slavery in its operations and supply chain and ensure compliance with Modern Slavery Laws.</w:t>
            </w:r>
          </w:p>
          <w:p w14:paraId="19AC4064" w14:textId="77777777" w:rsidR="00E4592B" w:rsidRPr="00F54A7D" w:rsidRDefault="00E4592B" w:rsidP="00E4592B">
            <w:pPr>
              <w:numPr>
                <w:ilvl w:val="0"/>
                <w:numId w:val="8"/>
              </w:numPr>
              <w:suppressAutoHyphens/>
              <w:ind w:right="677"/>
              <w:contextualSpacing/>
              <w:rPr>
                <w:rFonts w:eastAsia="Times New Roman" w:cs="Arial"/>
                <w:sz w:val="19"/>
                <w:szCs w:val="19"/>
              </w:rPr>
            </w:pPr>
            <w:r w:rsidRPr="00F54A7D">
              <w:rPr>
                <w:rFonts w:eastAsia="Times New Roman" w:cs="Arial"/>
                <w:sz w:val="19"/>
                <w:szCs w:val="19"/>
              </w:rPr>
              <w:t>Demonstrated through relevant and thorough evidence.</w:t>
            </w:r>
          </w:p>
          <w:p w14:paraId="002EFF3E" w14:textId="77777777" w:rsidR="00E4592B" w:rsidRPr="00F54A7D" w:rsidRDefault="00E4592B" w:rsidP="00E4592B">
            <w:pPr>
              <w:numPr>
                <w:ilvl w:val="0"/>
                <w:numId w:val="8"/>
              </w:numPr>
              <w:suppressAutoHyphens/>
              <w:ind w:right="677"/>
              <w:contextualSpacing/>
              <w:rPr>
                <w:rFonts w:eastAsia="Times New Roman" w:cs="Arial"/>
                <w:sz w:val="19"/>
                <w:szCs w:val="19"/>
              </w:rPr>
            </w:pPr>
            <w:r w:rsidRPr="00F54A7D">
              <w:rPr>
                <w:rFonts w:eastAsia="Times New Roman" w:cs="Arial"/>
                <w:sz w:val="19"/>
                <w:szCs w:val="19"/>
              </w:rPr>
              <w:t>The response also proposes additional value above that expected.</w:t>
            </w:r>
          </w:p>
        </w:tc>
        <w:tc>
          <w:tcPr>
            <w:tcW w:w="1620" w:type="dxa"/>
            <w:tcBorders>
              <w:top w:val="none" w:sz="0" w:space="0" w:color="auto"/>
              <w:left w:val="none" w:sz="0" w:space="0" w:color="auto"/>
              <w:bottom w:val="none" w:sz="0" w:space="0" w:color="auto"/>
              <w:right w:val="none" w:sz="0" w:space="0" w:color="auto"/>
            </w:tcBorders>
            <w:hideMark/>
          </w:tcPr>
          <w:p w14:paraId="2602A8DE" w14:textId="77777777" w:rsidR="00E4592B" w:rsidRPr="00F54A7D" w:rsidRDefault="00E4592B" w:rsidP="00E4592B">
            <w:pPr>
              <w:suppressAutoHyphens/>
              <w:ind w:right="677"/>
              <w:cnfStyle w:val="000000100000" w:firstRow="0" w:lastRow="0" w:firstColumn="0" w:lastColumn="0" w:oddVBand="0" w:evenVBand="0" w:oddHBand="1" w:evenHBand="0" w:firstRowFirstColumn="0" w:firstRowLastColumn="0" w:lastRowFirstColumn="0" w:lastRowLastColumn="0"/>
              <w:rPr>
                <w:rFonts w:eastAsia="Calibri" w:cs="Arial"/>
                <w:b/>
                <w:bCs/>
                <w:sz w:val="19"/>
                <w:szCs w:val="19"/>
              </w:rPr>
            </w:pPr>
            <w:r w:rsidRPr="00F54A7D">
              <w:rPr>
                <w:rFonts w:eastAsia="Calibri" w:cs="Arial"/>
                <w:b/>
                <w:bCs/>
                <w:sz w:val="19"/>
                <w:szCs w:val="19"/>
              </w:rPr>
              <w:t>5</w:t>
            </w:r>
          </w:p>
        </w:tc>
      </w:tr>
      <w:tr w:rsidR="00E4592B" w:rsidRPr="00F54A7D" w14:paraId="6142CD92" w14:textId="77777777" w:rsidTr="00F54A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8" w:type="dxa"/>
            <w:tcBorders>
              <w:top w:val="none" w:sz="0" w:space="0" w:color="auto"/>
              <w:left w:val="none" w:sz="0" w:space="0" w:color="auto"/>
              <w:bottom w:val="none" w:sz="0" w:space="0" w:color="auto"/>
              <w:right w:val="none" w:sz="0" w:space="0" w:color="auto"/>
            </w:tcBorders>
            <w:hideMark/>
          </w:tcPr>
          <w:p w14:paraId="78A372C7" w14:textId="77777777" w:rsidR="00E4592B" w:rsidRPr="00F54A7D" w:rsidRDefault="00E4592B" w:rsidP="00E4592B">
            <w:pPr>
              <w:suppressAutoHyphens/>
              <w:rPr>
                <w:rFonts w:eastAsia="Calibri" w:cs="Arial"/>
                <w:b/>
                <w:sz w:val="19"/>
                <w:szCs w:val="19"/>
              </w:rPr>
            </w:pPr>
            <w:r w:rsidRPr="00F54A7D">
              <w:rPr>
                <w:rFonts w:eastAsia="Calibri" w:cs="Arial"/>
                <w:b/>
                <w:sz w:val="19"/>
                <w:szCs w:val="19"/>
              </w:rPr>
              <w:t xml:space="preserve">Very good: </w:t>
            </w:r>
            <w:r w:rsidRPr="00F54A7D">
              <w:rPr>
                <w:rFonts w:eastAsia="Calibri" w:cs="Arial"/>
                <w:sz w:val="19"/>
                <w:szCs w:val="19"/>
              </w:rPr>
              <w:t>meets the modern slavery criteria to a high standard.</w:t>
            </w:r>
          </w:p>
          <w:p w14:paraId="31772D10" w14:textId="77777777" w:rsidR="00E4592B" w:rsidRPr="00F54A7D" w:rsidRDefault="00E4592B" w:rsidP="00E4592B">
            <w:pPr>
              <w:suppressAutoHyphens/>
              <w:rPr>
                <w:rFonts w:eastAsia="Calibri" w:cs="Arial"/>
                <w:sz w:val="19"/>
                <w:szCs w:val="19"/>
              </w:rPr>
            </w:pPr>
            <w:r w:rsidRPr="00F54A7D">
              <w:rPr>
                <w:rFonts w:eastAsia="Calibri" w:cs="Arial"/>
                <w:sz w:val="19"/>
                <w:szCs w:val="19"/>
              </w:rPr>
              <w:t xml:space="preserve">The response therefore shows: </w:t>
            </w:r>
          </w:p>
          <w:p w14:paraId="44088086" w14:textId="77777777" w:rsidR="00E4592B" w:rsidRPr="00F54A7D" w:rsidRDefault="00E4592B" w:rsidP="00E4592B">
            <w:pPr>
              <w:numPr>
                <w:ilvl w:val="0"/>
                <w:numId w:val="8"/>
              </w:numPr>
              <w:suppressAutoHyphens/>
              <w:contextualSpacing/>
              <w:rPr>
                <w:rFonts w:eastAsia="Times New Roman" w:cs="Arial"/>
                <w:sz w:val="19"/>
                <w:szCs w:val="19"/>
              </w:rPr>
            </w:pPr>
            <w:r w:rsidRPr="00F54A7D">
              <w:rPr>
                <w:rFonts w:eastAsia="Times New Roman" w:cs="Arial"/>
                <w:sz w:val="19"/>
                <w:szCs w:val="19"/>
              </w:rPr>
              <w:t xml:space="preserve">Very good understanding of the reasonable steps required to identify, </w:t>
            </w:r>
            <w:proofErr w:type="gramStart"/>
            <w:r w:rsidRPr="00F54A7D">
              <w:rPr>
                <w:rFonts w:eastAsia="Times New Roman" w:cs="Arial"/>
                <w:sz w:val="19"/>
                <w:szCs w:val="19"/>
              </w:rPr>
              <w:t>assess</w:t>
            </w:r>
            <w:proofErr w:type="gramEnd"/>
            <w:r w:rsidRPr="00F54A7D">
              <w:rPr>
                <w:rFonts w:eastAsia="Times New Roman" w:cs="Arial"/>
                <w:sz w:val="19"/>
                <w:szCs w:val="19"/>
              </w:rPr>
              <w:t xml:space="preserve"> and address Modern Slavery in its operations and supply chain and ensure compliance with Modern Slavery Laws.</w:t>
            </w:r>
          </w:p>
          <w:p w14:paraId="153779FC" w14:textId="77777777" w:rsidR="00E4592B" w:rsidRPr="00F54A7D" w:rsidRDefault="00E4592B" w:rsidP="00E4592B">
            <w:pPr>
              <w:numPr>
                <w:ilvl w:val="0"/>
                <w:numId w:val="8"/>
              </w:numPr>
              <w:suppressAutoHyphens/>
              <w:contextualSpacing/>
              <w:rPr>
                <w:rFonts w:eastAsia="Times New Roman" w:cs="Arial"/>
                <w:sz w:val="19"/>
                <w:szCs w:val="19"/>
              </w:rPr>
            </w:pPr>
            <w:r w:rsidRPr="00F54A7D">
              <w:rPr>
                <w:rFonts w:eastAsia="Times New Roman" w:cs="Arial"/>
                <w:sz w:val="19"/>
                <w:szCs w:val="19"/>
              </w:rPr>
              <w:t>Demonstrated through relevant evidence.</w:t>
            </w:r>
          </w:p>
        </w:tc>
        <w:tc>
          <w:tcPr>
            <w:tcW w:w="1620" w:type="dxa"/>
            <w:tcBorders>
              <w:top w:val="none" w:sz="0" w:space="0" w:color="auto"/>
              <w:left w:val="none" w:sz="0" w:space="0" w:color="auto"/>
              <w:bottom w:val="none" w:sz="0" w:space="0" w:color="auto"/>
              <w:right w:val="none" w:sz="0" w:space="0" w:color="auto"/>
            </w:tcBorders>
            <w:hideMark/>
          </w:tcPr>
          <w:p w14:paraId="0C4F8234" w14:textId="77777777" w:rsidR="00E4592B" w:rsidRPr="00F54A7D" w:rsidRDefault="00E4592B" w:rsidP="00E4592B">
            <w:pPr>
              <w:suppressAutoHyphens/>
              <w:cnfStyle w:val="000000010000" w:firstRow="0" w:lastRow="0" w:firstColumn="0" w:lastColumn="0" w:oddVBand="0" w:evenVBand="0" w:oddHBand="0" w:evenHBand="1" w:firstRowFirstColumn="0" w:firstRowLastColumn="0" w:lastRowFirstColumn="0" w:lastRowLastColumn="0"/>
              <w:rPr>
                <w:rFonts w:eastAsia="Calibri" w:cs="Arial"/>
                <w:sz w:val="19"/>
                <w:szCs w:val="19"/>
              </w:rPr>
            </w:pPr>
            <w:r w:rsidRPr="00F54A7D">
              <w:rPr>
                <w:rFonts w:eastAsia="Calibri" w:cs="Arial"/>
                <w:b/>
                <w:bCs/>
                <w:sz w:val="19"/>
                <w:szCs w:val="19"/>
              </w:rPr>
              <w:t>4</w:t>
            </w:r>
            <w:r w:rsidRPr="00F54A7D">
              <w:rPr>
                <w:rFonts w:eastAsia="Calibri" w:cs="Arial"/>
                <w:sz w:val="19"/>
                <w:szCs w:val="19"/>
              </w:rPr>
              <w:t xml:space="preserve"> </w:t>
            </w:r>
          </w:p>
        </w:tc>
      </w:tr>
      <w:tr w:rsidR="00E4592B" w:rsidRPr="00F54A7D" w14:paraId="21E9D524" w14:textId="77777777" w:rsidTr="00F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8" w:type="dxa"/>
            <w:tcBorders>
              <w:top w:val="none" w:sz="0" w:space="0" w:color="auto"/>
              <w:left w:val="none" w:sz="0" w:space="0" w:color="auto"/>
              <w:bottom w:val="none" w:sz="0" w:space="0" w:color="auto"/>
              <w:right w:val="none" w:sz="0" w:space="0" w:color="auto"/>
            </w:tcBorders>
            <w:hideMark/>
          </w:tcPr>
          <w:p w14:paraId="5AD53B38" w14:textId="77777777" w:rsidR="00E4592B" w:rsidRPr="00F54A7D" w:rsidRDefault="00E4592B" w:rsidP="00E4592B">
            <w:pPr>
              <w:suppressAutoHyphens/>
              <w:rPr>
                <w:rFonts w:eastAsia="Calibri" w:cs="Arial"/>
                <w:sz w:val="19"/>
                <w:szCs w:val="19"/>
              </w:rPr>
            </w:pPr>
            <w:r w:rsidRPr="00F54A7D">
              <w:rPr>
                <w:rFonts w:eastAsia="Calibri" w:cs="Arial"/>
                <w:b/>
                <w:sz w:val="19"/>
                <w:szCs w:val="19"/>
              </w:rPr>
              <w:t xml:space="preserve">Good: </w:t>
            </w:r>
            <w:r w:rsidRPr="00F54A7D">
              <w:rPr>
                <w:rFonts w:eastAsia="Calibri" w:cs="Arial"/>
                <w:sz w:val="19"/>
                <w:szCs w:val="19"/>
              </w:rPr>
              <w:t>meets the modern slavery criteria to a good standard.</w:t>
            </w:r>
          </w:p>
          <w:p w14:paraId="414DC3BD" w14:textId="77777777" w:rsidR="00E4592B" w:rsidRPr="00F54A7D" w:rsidRDefault="00E4592B" w:rsidP="00E4592B">
            <w:pPr>
              <w:suppressAutoHyphens/>
              <w:rPr>
                <w:rFonts w:eastAsia="Calibri" w:cs="Arial"/>
                <w:sz w:val="19"/>
                <w:szCs w:val="19"/>
              </w:rPr>
            </w:pPr>
            <w:r w:rsidRPr="00F54A7D">
              <w:rPr>
                <w:rFonts w:eastAsia="Calibri" w:cs="Arial"/>
                <w:sz w:val="19"/>
                <w:szCs w:val="19"/>
              </w:rPr>
              <w:t xml:space="preserve">The response therefore shows: </w:t>
            </w:r>
          </w:p>
          <w:p w14:paraId="5F5AEED1" w14:textId="77777777" w:rsidR="00E4592B" w:rsidRPr="00F54A7D" w:rsidRDefault="00E4592B" w:rsidP="00E4592B">
            <w:pPr>
              <w:numPr>
                <w:ilvl w:val="0"/>
                <w:numId w:val="8"/>
              </w:numPr>
              <w:suppressAutoHyphens/>
              <w:contextualSpacing/>
              <w:rPr>
                <w:rFonts w:eastAsia="Times New Roman" w:cs="Arial"/>
                <w:sz w:val="19"/>
                <w:szCs w:val="19"/>
              </w:rPr>
            </w:pPr>
            <w:r w:rsidRPr="00F54A7D">
              <w:rPr>
                <w:rFonts w:eastAsia="Times New Roman" w:cs="Arial"/>
                <w:sz w:val="19"/>
                <w:szCs w:val="19"/>
              </w:rPr>
              <w:t xml:space="preserve">Good understanding of the reasonable steps required to identify, </w:t>
            </w:r>
            <w:proofErr w:type="gramStart"/>
            <w:r w:rsidRPr="00F54A7D">
              <w:rPr>
                <w:rFonts w:eastAsia="Times New Roman" w:cs="Arial"/>
                <w:sz w:val="19"/>
                <w:szCs w:val="19"/>
              </w:rPr>
              <w:t>assess</w:t>
            </w:r>
            <w:proofErr w:type="gramEnd"/>
            <w:r w:rsidRPr="00F54A7D">
              <w:rPr>
                <w:rFonts w:eastAsia="Times New Roman" w:cs="Arial"/>
                <w:sz w:val="19"/>
                <w:szCs w:val="19"/>
              </w:rPr>
              <w:t xml:space="preserve"> and address Modern Slavery in its operations and supply chain and ensure compliance with Modern Slavery Laws.</w:t>
            </w:r>
          </w:p>
          <w:p w14:paraId="3E88BADE" w14:textId="77777777" w:rsidR="00E4592B" w:rsidRPr="00F54A7D" w:rsidRDefault="00E4592B" w:rsidP="00E4592B">
            <w:pPr>
              <w:numPr>
                <w:ilvl w:val="0"/>
                <w:numId w:val="8"/>
              </w:numPr>
              <w:suppressAutoHyphens/>
              <w:contextualSpacing/>
              <w:rPr>
                <w:rFonts w:eastAsia="Times New Roman" w:cs="Arial"/>
                <w:sz w:val="19"/>
                <w:szCs w:val="19"/>
              </w:rPr>
            </w:pPr>
            <w:r w:rsidRPr="00F54A7D">
              <w:rPr>
                <w:rFonts w:eastAsia="Times New Roman" w:cs="Arial"/>
                <w:sz w:val="19"/>
                <w:szCs w:val="19"/>
              </w:rPr>
              <w:t xml:space="preserve">Demonstrated through some evidence, but evidence lacking in some areas. </w:t>
            </w:r>
          </w:p>
        </w:tc>
        <w:tc>
          <w:tcPr>
            <w:tcW w:w="1620" w:type="dxa"/>
            <w:tcBorders>
              <w:top w:val="none" w:sz="0" w:space="0" w:color="auto"/>
              <w:left w:val="none" w:sz="0" w:space="0" w:color="auto"/>
              <w:bottom w:val="none" w:sz="0" w:space="0" w:color="auto"/>
              <w:right w:val="none" w:sz="0" w:space="0" w:color="auto"/>
            </w:tcBorders>
            <w:hideMark/>
          </w:tcPr>
          <w:p w14:paraId="1E75A28E" w14:textId="77777777" w:rsidR="00E4592B" w:rsidRPr="00F54A7D" w:rsidRDefault="00E4592B" w:rsidP="00E4592B">
            <w:pPr>
              <w:suppressAutoHyphens/>
              <w:cnfStyle w:val="000000100000" w:firstRow="0" w:lastRow="0" w:firstColumn="0" w:lastColumn="0" w:oddVBand="0" w:evenVBand="0" w:oddHBand="1" w:evenHBand="0" w:firstRowFirstColumn="0" w:firstRowLastColumn="0" w:lastRowFirstColumn="0" w:lastRowLastColumn="0"/>
              <w:rPr>
                <w:rFonts w:eastAsia="Calibri" w:cs="Arial"/>
                <w:b/>
                <w:bCs/>
                <w:sz w:val="19"/>
                <w:szCs w:val="19"/>
              </w:rPr>
            </w:pPr>
            <w:r w:rsidRPr="00F54A7D">
              <w:rPr>
                <w:rFonts w:eastAsia="Calibri" w:cs="Arial"/>
                <w:b/>
                <w:bCs/>
                <w:sz w:val="19"/>
                <w:szCs w:val="19"/>
              </w:rPr>
              <w:t>3</w:t>
            </w:r>
          </w:p>
        </w:tc>
      </w:tr>
      <w:tr w:rsidR="00E4592B" w:rsidRPr="00F54A7D" w14:paraId="652A96F6" w14:textId="77777777" w:rsidTr="00F54A7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8" w:type="dxa"/>
            <w:tcBorders>
              <w:top w:val="none" w:sz="0" w:space="0" w:color="auto"/>
              <w:left w:val="none" w:sz="0" w:space="0" w:color="auto"/>
              <w:bottom w:val="none" w:sz="0" w:space="0" w:color="auto"/>
              <w:right w:val="none" w:sz="0" w:space="0" w:color="auto"/>
            </w:tcBorders>
            <w:hideMark/>
          </w:tcPr>
          <w:p w14:paraId="22A2785B" w14:textId="77777777" w:rsidR="00E4592B" w:rsidRPr="00F54A7D" w:rsidRDefault="00E4592B" w:rsidP="00E4592B">
            <w:pPr>
              <w:suppressAutoHyphens/>
              <w:rPr>
                <w:rFonts w:eastAsia="Calibri" w:cs="Arial"/>
                <w:b/>
                <w:sz w:val="19"/>
                <w:szCs w:val="19"/>
              </w:rPr>
            </w:pPr>
            <w:r w:rsidRPr="00F54A7D">
              <w:rPr>
                <w:rFonts w:eastAsia="Calibri" w:cs="Arial"/>
                <w:b/>
                <w:sz w:val="19"/>
                <w:szCs w:val="19"/>
              </w:rPr>
              <w:t xml:space="preserve">Fair: </w:t>
            </w:r>
            <w:r w:rsidRPr="00F54A7D">
              <w:rPr>
                <w:rFonts w:eastAsia="Calibri" w:cs="Arial"/>
                <w:sz w:val="19"/>
                <w:szCs w:val="19"/>
              </w:rPr>
              <w:t>meets the modern slavery criteria to a fair standard.</w:t>
            </w:r>
            <w:r w:rsidRPr="00F54A7D">
              <w:rPr>
                <w:rFonts w:eastAsia="Calibri" w:cs="Arial"/>
                <w:b/>
                <w:sz w:val="19"/>
                <w:szCs w:val="19"/>
              </w:rPr>
              <w:t xml:space="preserve">  </w:t>
            </w:r>
          </w:p>
          <w:p w14:paraId="4DF01054" w14:textId="77777777" w:rsidR="00E4592B" w:rsidRPr="00F54A7D" w:rsidRDefault="00E4592B" w:rsidP="00E4592B">
            <w:pPr>
              <w:suppressAutoHyphens/>
              <w:rPr>
                <w:rFonts w:eastAsia="Calibri" w:cs="Arial"/>
                <w:sz w:val="19"/>
                <w:szCs w:val="19"/>
              </w:rPr>
            </w:pPr>
            <w:r w:rsidRPr="00F54A7D">
              <w:rPr>
                <w:rFonts w:eastAsia="Calibri" w:cs="Arial"/>
                <w:sz w:val="19"/>
                <w:szCs w:val="19"/>
              </w:rPr>
              <w:t xml:space="preserve">The response therefore shows: </w:t>
            </w:r>
          </w:p>
          <w:p w14:paraId="0DAF351E" w14:textId="77777777" w:rsidR="00E4592B" w:rsidRPr="00F54A7D" w:rsidRDefault="00E4592B" w:rsidP="00E4592B">
            <w:pPr>
              <w:numPr>
                <w:ilvl w:val="0"/>
                <w:numId w:val="8"/>
              </w:numPr>
              <w:suppressAutoHyphens/>
              <w:contextualSpacing/>
              <w:rPr>
                <w:rFonts w:eastAsia="Times New Roman" w:cs="Arial"/>
                <w:sz w:val="19"/>
                <w:szCs w:val="19"/>
              </w:rPr>
            </w:pPr>
            <w:r w:rsidRPr="00F54A7D">
              <w:rPr>
                <w:rFonts w:eastAsia="Times New Roman" w:cs="Arial"/>
                <w:sz w:val="19"/>
                <w:szCs w:val="19"/>
              </w:rPr>
              <w:t xml:space="preserve">Fair understanding of the reasonable steps required to identify, </w:t>
            </w:r>
            <w:proofErr w:type="gramStart"/>
            <w:r w:rsidRPr="00F54A7D">
              <w:rPr>
                <w:rFonts w:eastAsia="Times New Roman" w:cs="Arial"/>
                <w:sz w:val="19"/>
                <w:szCs w:val="19"/>
              </w:rPr>
              <w:t>assess</w:t>
            </w:r>
            <w:proofErr w:type="gramEnd"/>
            <w:r w:rsidRPr="00F54A7D">
              <w:rPr>
                <w:rFonts w:eastAsia="Times New Roman" w:cs="Arial"/>
                <w:sz w:val="19"/>
                <w:szCs w:val="19"/>
              </w:rPr>
              <w:t xml:space="preserve"> and address Modern Slavery in its operations and supply chain and ensure compliance with Modern Slavery Laws.</w:t>
            </w:r>
          </w:p>
          <w:p w14:paraId="15958822" w14:textId="77777777" w:rsidR="00E4592B" w:rsidRPr="00F54A7D" w:rsidRDefault="00E4592B" w:rsidP="00E4592B">
            <w:pPr>
              <w:numPr>
                <w:ilvl w:val="0"/>
                <w:numId w:val="8"/>
              </w:numPr>
              <w:suppressAutoHyphens/>
              <w:contextualSpacing/>
              <w:rPr>
                <w:rFonts w:eastAsia="Times New Roman" w:cs="Arial"/>
                <w:sz w:val="19"/>
                <w:szCs w:val="19"/>
              </w:rPr>
            </w:pPr>
            <w:r w:rsidRPr="00F54A7D">
              <w:rPr>
                <w:rFonts w:eastAsia="Times New Roman" w:cs="Arial"/>
                <w:sz w:val="19"/>
                <w:szCs w:val="19"/>
              </w:rPr>
              <w:t xml:space="preserve">Demonstrated through minimal evidence, with evidence lacking in some areas. </w:t>
            </w:r>
          </w:p>
        </w:tc>
        <w:tc>
          <w:tcPr>
            <w:tcW w:w="1620" w:type="dxa"/>
            <w:tcBorders>
              <w:top w:val="none" w:sz="0" w:space="0" w:color="auto"/>
              <w:left w:val="none" w:sz="0" w:space="0" w:color="auto"/>
              <w:bottom w:val="none" w:sz="0" w:space="0" w:color="auto"/>
              <w:right w:val="none" w:sz="0" w:space="0" w:color="auto"/>
            </w:tcBorders>
            <w:hideMark/>
          </w:tcPr>
          <w:p w14:paraId="249437BA" w14:textId="77777777" w:rsidR="00E4592B" w:rsidRPr="00F54A7D" w:rsidRDefault="00E4592B" w:rsidP="00E4592B">
            <w:pPr>
              <w:suppressAutoHyphens/>
              <w:cnfStyle w:val="000000010000" w:firstRow="0" w:lastRow="0" w:firstColumn="0" w:lastColumn="0" w:oddVBand="0" w:evenVBand="0" w:oddHBand="0" w:evenHBand="1" w:firstRowFirstColumn="0" w:firstRowLastColumn="0" w:lastRowFirstColumn="0" w:lastRowLastColumn="0"/>
              <w:rPr>
                <w:rFonts w:eastAsia="Calibri" w:cs="Arial"/>
                <w:b/>
                <w:bCs/>
                <w:sz w:val="19"/>
                <w:szCs w:val="19"/>
              </w:rPr>
            </w:pPr>
            <w:r w:rsidRPr="00F54A7D">
              <w:rPr>
                <w:rFonts w:eastAsia="Calibri" w:cs="Arial"/>
                <w:b/>
                <w:bCs/>
                <w:sz w:val="19"/>
                <w:szCs w:val="19"/>
              </w:rPr>
              <w:t>2</w:t>
            </w:r>
          </w:p>
        </w:tc>
      </w:tr>
      <w:tr w:rsidR="00E4592B" w:rsidRPr="00F54A7D" w14:paraId="3345F9CD" w14:textId="77777777" w:rsidTr="00F54A7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328" w:type="dxa"/>
            <w:tcBorders>
              <w:top w:val="none" w:sz="0" w:space="0" w:color="auto"/>
              <w:left w:val="none" w:sz="0" w:space="0" w:color="auto"/>
              <w:bottom w:val="none" w:sz="0" w:space="0" w:color="auto"/>
              <w:right w:val="none" w:sz="0" w:space="0" w:color="auto"/>
            </w:tcBorders>
            <w:hideMark/>
          </w:tcPr>
          <w:p w14:paraId="2DEE44A5" w14:textId="77777777" w:rsidR="00E4592B" w:rsidRPr="00F54A7D" w:rsidRDefault="00E4592B" w:rsidP="00E4592B">
            <w:pPr>
              <w:suppressAutoHyphens/>
              <w:rPr>
                <w:rFonts w:eastAsia="Calibri" w:cs="Arial"/>
                <w:b/>
                <w:sz w:val="19"/>
                <w:szCs w:val="19"/>
              </w:rPr>
            </w:pPr>
            <w:r w:rsidRPr="00F54A7D">
              <w:rPr>
                <w:rFonts w:eastAsia="Calibri" w:cs="Arial"/>
                <w:b/>
                <w:sz w:val="19"/>
                <w:szCs w:val="19"/>
              </w:rPr>
              <w:lastRenderedPageBreak/>
              <w:t xml:space="preserve">Poor: </w:t>
            </w:r>
            <w:r w:rsidRPr="00F54A7D">
              <w:rPr>
                <w:rFonts w:eastAsia="Calibri" w:cs="Arial"/>
                <w:sz w:val="19"/>
                <w:szCs w:val="19"/>
              </w:rPr>
              <w:t>partially addresses the modern slavery criteria, with obvious deficiencies</w:t>
            </w:r>
            <w:r w:rsidRPr="00F54A7D">
              <w:rPr>
                <w:rFonts w:eastAsia="Calibri" w:cs="Arial"/>
                <w:b/>
                <w:sz w:val="19"/>
                <w:szCs w:val="19"/>
              </w:rPr>
              <w:t xml:space="preserve"> </w:t>
            </w:r>
          </w:p>
          <w:p w14:paraId="28CC2949" w14:textId="77777777" w:rsidR="00E4592B" w:rsidRPr="00F54A7D" w:rsidRDefault="00E4592B" w:rsidP="00E4592B">
            <w:pPr>
              <w:suppressAutoHyphens/>
              <w:rPr>
                <w:rFonts w:eastAsia="Calibri" w:cs="Arial"/>
                <w:sz w:val="19"/>
                <w:szCs w:val="19"/>
              </w:rPr>
            </w:pPr>
            <w:r w:rsidRPr="00F54A7D">
              <w:rPr>
                <w:rFonts w:eastAsia="Calibri" w:cs="Arial"/>
                <w:sz w:val="19"/>
                <w:szCs w:val="19"/>
              </w:rPr>
              <w:t xml:space="preserve">The response therefore shows: </w:t>
            </w:r>
          </w:p>
          <w:p w14:paraId="3B58A9F7" w14:textId="77777777" w:rsidR="00E4592B" w:rsidRPr="00F54A7D" w:rsidRDefault="00E4592B" w:rsidP="00E4592B">
            <w:pPr>
              <w:numPr>
                <w:ilvl w:val="0"/>
                <w:numId w:val="8"/>
              </w:numPr>
              <w:suppressAutoHyphens/>
              <w:contextualSpacing/>
              <w:rPr>
                <w:rFonts w:eastAsia="Times New Roman" w:cs="Arial"/>
                <w:sz w:val="19"/>
                <w:szCs w:val="19"/>
              </w:rPr>
            </w:pPr>
            <w:r w:rsidRPr="00F54A7D">
              <w:rPr>
                <w:rFonts w:eastAsia="Times New Roman" w:cs="Arial"/>
                <w:sz w:val="19"/>
                <w:szCs w:val="19"/>
              </w:rPr>
              <w:t xml:space="preserve">Minimal or low understanding of the reasonable steps required to identify, </w:t>
            </w:r>
            <w:proofErr w:type="gramStart"/>
            <w:r w:rsidRPr="00F54A7D">
              <w:rPr>
                <w:rFonts w:eastAsia="Times New Roman" w:cs="Arial"/>
                <w:sz w:val="19"/>
                <w:szCs w:val="19"/>
              </w:rPr>
              <w:t>assess</w:t>
            </w:r>
            <w:proofErr w:type="gramEnd"/>
            <w:r w:rsidRPr="00F54A7D">
              <w:rPr>
                <w:rFonts w:eastAsia="Times New Roman" w:cs="Arial"/>
                <w:sz w:val="19"/>
                <w:szCs w:val="19"/>
              </w:rPr>
              <w:t xml:space="preserve"> and address Modern Slavery in its operations and supply chain and ensure compliance with Modern Slavery Laws.</w:t>
            </w:r>
          </w:p>
          <w:p w14:paraId="537D3768" w14:textId="77777777" w:rsidR="00E4592B" w:rsidRPr="00F54A7D" w:rsidRDefault="00E4592B" w:rsidP="00E4592B">
            <w:pPr>
              <w:numPr>
                <w:ilvl w:val="0"/>
                <w:numId w:val="8"/>
              </w:numPr>
              <w:suppressAutoHyphens/>
              <w:contextualSpacing/>
              <w:rPr>
                <w:rFonts w:eastAsia="Times New Roman" w:cs="Arial"/>
                <w:sz w:val="19"/>
                <w:szCs w:val="19"/>
              </w:rPr>
            </w:pPr>
            <w:r w:rsidRPr="00F54A7D">
              <w:rPr>
                <w:rFonts w:eastAsia="Times New Roman" w:cs="Arial"/>
                <w:sz w:val="19"/>
                <w:szCs w:val="19"/>
              </w:rPr>
              <w:t>Minimal or low relevant evidence.</w:t>
            </w:r>
          </w:p>
        </w:tc>
        <w:tc>
          <w:tcPr>
            <w:tcW w:w="1620" w:type="dxa"/>
            <w:tcBorders>
              <w:top w:val="none" w:sz="0" w:space="0" w:color="auto"/>
              <w:left w:val="none" w:sz="0" w:space="0" w:color="auto"/>
              <w:bottom w:val="none" w:sz="0" w:space="0" w:color="auto"/>
              <w:right w:val="none" w:sz="0" w:space="0" w:color="auto"/>
            </w:tcBorders>
            <w:hideMark/>
          </w:tcPr>
          <w:p w14:paraId="05C35FFC" w14:textId="77777777" w:rsidR="00E4592B" w:rsidRPr="00F54A7D" w:rsidRDefault="00E4592B" w:rsidP="00E4592B">
            <w:pPr>
              <w:suppressAutoHyphens/>
              <w:cnfStyle w:val="000000100000" w:firstRow="0" w:lastRow="0" w:firstColumn="0" w:lastColumn="0" w:oddVBand="0" w:evenVBand="0" w:oddHBand="1" w:evenHBand="0" w:firstRowFirstColumn="0" w:firstRowLastColumn="0" w:lastRowFirstColumn="0" w:lastRowLastColumn="0"/>
              <w:rPr>
                <w:rFonts w:eastAsia="Calibri" w:cs="Arial"/>
                <w:b/>
                <w:bCs/>
                <w:sz w:val="19"/>
                <w:szCs w:val="19"/>
              </w:rPr>
            </w:pPr>
            <w:r w:rsidRPr="00F54A7D">
              <w:rPr>
                <w:rFonts w:eastAsia="Calibri" w:cs="Arial"/>
                <w:b/>
                <w:bCs/>
                <w:sz w:val="19"/>
                <w:szCs w:val="19"/>
              </w:rPr>
              <w:t>1</w:t>
            </w:r>
          </w:p>
        </w:tc>
      </w:tr>
      <w:tr w:rsidR="00E4592B" w:rsidRPr="00F54A7D" w14:paraId="52ECDD1C" w14:textId="77777777" w:rsidTr="00F54A7D">
        <w:trPr>
          <w:cnfStyle w:val="000000010000" w:firstRow="0" w:lastRow="0" w:firstColumn="0" w:lastColumn="0" w:oddVBand="0" w:evenVBand="0" w:oddHBand="0" w:evenHBand="1" w:firstRowFirstColumn="0" w:firstRowLastColumn="0" w:lastRowFirstColumn="0" w:lastRowLastColumn="0"/>
          <w:trHeight w:val="367"/>
        </w:trPr>
        <w:tc>
          <w:tcPr>
            <w:cnfStyle w:val="001000000000" w:firstRow="0" w:lastRow="0" w:firstColumn="1" w:lastColumn="0" w:oddVBand="0" w:evenVBand="0" w:oddHBand="0" w:evenHBand="0" w:firstRowFirstColumn="0" w:firstRowLastColumn="0" w:lastRowFirstColumn="0" w:lastRowLastColumn="0"/>
            <w:tcW w:w="12328" w:type="dxa"/>
            <w:tcBorders>
              <w:top w:val="none" w:sz="0" w:space="0" w:color="auto"/>
              <w:left w:val="none" w:sz="0" w:space="0" w:color="auto"/>
              <w:bottom w:val="none" w:sz="0" w:space="0" w:color="auto"/>
              <w:right w:val="none" w:sz="0" w:space="0" w:color="auto"/>
            </w:tcBorders>
            <w:hideMark/>
          </w:tcPr>
          <w:p w14:paraId="1E8CEA3E" w14:textId="77777777" w:rsidR="00E4592B" w:rsidRPr="00F54A7D" w:rsidRDefault="00E4592B" w:rsidP="00E4592B">
            <w:pPr>
              <w:suppressAutoHyphens/>
              <w:rPr>
                <w:rFonts w:eastAsia="Calibri" w:cs="Arial"/>
                <w:sz w:val="19"/>
                <w:szCs w:val="19"/>
              </w:rPr>
            </w:pPr>
            <w:r w:rsidRPr="00F54A7D">
              <w:rPr>
                <w:rFonts w:eastAsia="Calibri" w:cs="Arial"/>
                <w:b/>
                <w:sz w:val="19"/>
                <w:szCs w:val="19"/>
              </w:rPr>
              <w:t>Fail</w:t>
            </w:r>
            <w:r w:rsidRPr="00F54A7D">
              <w:rPr>
                <w:rFonts w:eastAsia="Calibri" w:cs="Arial"/>
                <w:sz w:val="19"/>
                <w:szCs w:val="19"/>
              </w:rPr>
              <w:t xml:space="preserve">: </w:t>
            </w:r>
            <w:proofErr w:type="gramStart"/>
            <w:r w:rsidRPr="00F54A7D">
              <w:rPr>
                <w:rFonts w:eastAsia="Calibri" w:cs="Arial"/>
                <w:sz w:val="19"/>
                <w:szCs w:val="19"/>
              </w:rPr>
              <w:t>non response</w:t>
            </w:r>
            <w:proofErr w:type="gramEnd"/>
            <w:r w:rsidRPr="00F54A7D">
              <w:rPr>
                <w:rFonts w:eastAsia="Calibri" w:cs="Arial"/>
                <w:sz w:val="19"/>
                <w:szCs w:val="19"/>
              </w:rPr>
              <w:t xml:space="preserve"> or complete failure to address the modern slavery criteria. </w:t>
            </w:r>
          </w:p>
        </w:tc>
        <w:tc>
          <w:tcPr>
            <w:tcW w:w="1620" w:type="dxa"/>
            <w:tcBorders>
              <w:top w:val="none" w:sz="0" w:space="0" w:color="auto"/>
              <w:left w:val="none" w:sz="0" w:space="0" w:color="auto"/>
              <w:bottom w:val="none" w:sz="0" w:space="0" w:color="auto"/>
              <w:right w:val="none" w:sz="0" w:space="0" w:color="auto"/>
            </w:tcBorders>
            <w:hideMark/>
          </w:tcPr>
          <w:p w14:paraId="1F030BEA" w14:textId="77777777" w:rsidR="00E4592B" w:rsidRPr="00F54A7D" w:rsidRDefault="00E4592B" w:rsidP="00E4592B">
            <w:pPr>
              <w:suppressAutoHyphens/>
              <w:cnfStyle w:val="000000010000" w:firstRow="0" w:lastRow="0" w:firstColumn="0" w:lastColumn="0" w:oddVBand="0" w:evenVBand="0" w:oddHBand="0" w:evenHBand="1" w:firstRowFirstColumn="0" w:firstRowLastColumn="0" w:lastRowFirstColumn="0" w:lastRowLastColumn="0"/>
              <w:rPr>
                <w:rFonts w:eastAsia="Calibri" w:cs="Arial"/>
                <w:b/>
                <w:bCs/>
                <w:sz w:val="19"/>
                <w:szCs w:val="19"/>
              </w:rPr>
            </w:pPr>
            <w:r w:rsidRPr="00F54A7D">
              <w:rPr>
                <w:rFonts w:eastAsia="Calibri" w:cs="Arial"/>
                <w:b/>
                <w:bCs/>
                <w:sz w:val="19"/>
                <w:szCs w:val="19"/>
              </w:rPr>
              <w:t>0</w:t>
            </w:r>
          </w:p>
        </w:tc>
      </w:tr>
    </w:tbl>
    <w:p w14:paraId="63EB517D" w14:textId="77777777" w:rsidR="00E4592B" w:rsidRPr="00F54A7D" w:rsidRDefault="00E4592B" w:rsidP="00E4592B">
      <w:pPr>
        <w:suppressAutoHyphens/>
        <w:spacing w:line="240" w:lineRule="auto"/>
        <w:rPr>
          <w:rFonts w:eastAsia="Calibri" w:cs="Arial"/>
          <w:b/>
          <w:bCs/>
          <w:szCs w:val="20"/>
          <w:lang w:eastAsia="zh-CN"/>
        </w:rPr>
      </w:pPr>
    </w:p>
    <w:p w14:paraId="182D457D" w14:textId="77777777" w:rsidR="00F54A7D" w:rsidRDefault="00F54A7D" w:rsidP="00E4592B">
      <w:pPr>
        <w:suppressAutoHyphens/>
        <w:spacing w:line="240" w:lineRule="auto"/>
        <w:rPr>
          <w:rFonts w:eastAsia="Calibri" w:cs="Arial"/>
          <w:b/>
          <w:bCs/>
          <w:szCs w:val="20"/>
          <w:lang w:eastAsia="zh-CN"/>
        </w:rPr>
      </w:pPr>
    </w:p>
    <w:p w14:paraId="7E1D3D81" w14:textId="09E78461" w:rsidR="00DC16BD" w:rsidRDefault="00DC16BD">
      <w:pPr>
        <w:rPr>
          <w:rFonts w:eastAsia="Calibri" w:cs="Arial"/>
          <w:b/>
          <w:bCs/>
          <w:szCs w:val="20"/>
          <w:lang w:eastAsia="zh-CN"/>
        </w:rPr>
      </w:pPr>
    </w:p>
    <w:sectPr w:rsidR="00DC16BD" w:rsidSect="002C1267">
      <w:footerReference w:type="default" r:id="rId18"/>
      <w:pgSz w:w="16838" w:h="11906" w:orient="landscape"/>
      <w:pgMar w:top="141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E4ADD" w14:textId="77777777" w:rsidR="001121BD" w:rsidRDefault="001121BD" w:rsidP="002203D0">
      <w:pPr>
        <w:spacing w:line="240" w:lineRule="auto"/>
      </w:pPr>
      <w:r>
        <w:separator/>
      </w:r>
    </w:p>
  </w:endnote>
  <w:endnote w:type="continuationSeparator" w:id="0">
    <w:p w14:paraId="16FEEE82" w14:textId="77777777" w:rsidR="001121BD" w:rsidRDefault="001121BD" w:rsidP="002203D0">
      <w:pPr>
        <w:spacing w:line="240" w:lineRule="auto"/>
      </w:pPr>
      <w:r>
        <w:continuationSeparator/>
      </w:r>
    </w:p>
  </w:endnote>
  <w:endnote w:type="continuationNotice" w:id="1">
    <w:p w14:paraId="138573D0" w14:textId="77777777" w:rsidR="001121BD" w:rsidRDefault="001121B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ublic Sans Light">
    <w:altName w:val="Public Sans Light"/>
    <w:panose1 w:val="00000000000000000000"/>
    <w:charset w:val="00"/>
    <w:family w:val="auto"/>
    <w:pitch w:val="variable"/>
    <w:sig w:usb0="A00000FF" w:usb1="4000205B" w:usb2="00000000" w:usb3="00000000" w:csb0="00000193" w:csb1="00000000"/>
  </w:font>
  <w:font w:name="Calibri">
    <w:panose1 w:val="020F0502020204030204"/>
    <w:charset w:val="00"/>
    <w:family w:val="swiss"/>
    <w:pitch w:val="variable"/>
    <w:sig w:usb0="E4002EFF" w:usb1="C000247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18B94" w14:textId="3FD2F727" w:rsidR="00E4592B" w:rsidRDefault="00E4592B">
    <w:pPr>
      <w:pStyle w:val="Footer"/>
    </w:pPr>
    <w:r>
      <w:rPr>
        <w:noProof/>
      </w:rPr>
      <mc:AlternateContent>
        <mc:Choice Requires="wps">
          <w:drawing>
            <wp:anchor distT="0" distB="0" distL="0" distR="0" simplePos="0" relativeHeight="251665409" behindDoc="0" locked="0" layoutInCell="1" allowOverlap="1" wp14:anchorId="1B6068BD" wp14:editId="3FEAEC87">
              <wp:simplePos x="635" y="635"/>
              <wp:positionH relativeFrom="page">
                <wp:align>center</wp:align>
              </wp:positionH>
              <wp:positionV relativeFrom="page">
                <wp:align>bottom</wp:align>
              </wp:positionV>
              <wp:extent cx="443865" cy="443865"/>
              <wp:effectExtent l="0" t="0" r="8890" b="0"/>
              <wp:wrapNone/>
              <wp:docPr id="8" name="Text Box 8">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8E11114" w14:textId="1D59274D"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B6068BD" id="_x0000_t202" coordsize="21600,21600" o:spt="202" path="m,l,21600r21600,l21600,xe">
              <v:stroke joinstyle="miter"/>
              <v:path gradientshapeok="t" o:connecttype="rect"/>
            </v:shapetype>
            <v:shape id="Text Box 8" o:spid="_x0000_s1027" type="#_x0000_t202" alt="&quot;&quot;" style="position:absolute;margin-left:0;margin-top:0;width:34.95pt;height:34.95pt;z-index:251665409;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68E11114" w14:textId="1D59274D"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808EE" w14:textId="77777777" w:rsidR="006A43ED" w:rsidRDefault="006A43ED" w:rsidP="00805518">
    <w:pPr>
      <w:pStyle w:val="Footer"/>
      <w:rPr>
        <w:rFonts w:eastAsia="Times New Roman" w:cs="Arial"/>
        <w:color w:val="22272B" w:themeColor="text1"/>
        <w:spacing w:val="-5"/>
        <w:kern w:val="28"/>
      </w:rPr>
    </w:pPr>
  </w:p>
  <w:p w14:paraId="0CB77B0F" w14:textId="4480119E" w:rsidR="0030438C" w:rsidRPr="00B8211A" w:rsidRDefault="006B053E" w:rsidP="00805518">
    <w:pPr>
      <w:pStyle w:val="Footer"/>
      <w:rPr>
        <w:rFonts w:cs="Arial"/>
      </w:rPr>
    </w:pPr>
    <w:r w:rsidRPr="00B8211A">
      <w:rPr>
        <w:rFonts w:cs="Arial"/>
        <w:noProof/>
        <w:color w:val="22272B" w:themeColor="text1"/>
      </w:rPr>
      <mc:AlternateContent>
        <mc:Choice Requires="wps">
          <w:drawing>
            <wp:anchor distT="0" distB="0" distL="114300" distR="114300" simplePos="0" relativeHeight="251658241" behindDoc="0" locked="0" layoutInCell="1" allowOverlap="1" wp14:anchorId="702412A8" wp14:editId="59C01F50">
              <wp:simplePos x="0" y="0"/>
              <wp:positionH relativeFrom="margin">
                <wp:posOffset>-1248410</wp:posOffset>
              </wp:positionH>
              <wp:positionV relativeFrom="paragraph">
                <wp:posOffset>3246120</wp:posOffset>
              </wp:positionV>
              <wp:extent cx="11081442" cy="0"/>
              <wp:effectExtent l="0" t="0" r="0" b="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081442"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clsh="http://schemas.microsoft.com/office/drawing/2020/classificationShape" xmlns:adec="http://schemas.microsoft.com/office/drawing/2017/decorative" xmlns:a="http://schemas.openxmlformats.org/drawingml/2006/main">
          <w:pict w14:anchorId="67D459E4">
            <v:line id="Straight Connector 4" style="position:absolute;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alt="&quot;&quot;" o:spid="_x0000_s1026" strokecolor="#22272b [3213]" strokeweight=".5pt" from="-98.3pt,255.6pt" to="774.25pt,255.6pt" w14:anchorId="7C70C2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">
              <v:stroke joinstyle="miter"/>
              <w10:wrap anchorx="margin"/>
            </v:line>
          </w:pict>
        </mc:Fallback>
      </mc:AlternateContent>
    </w:r>
    <w:r w:rsidR="00E4592B" w:rsidRPr="00B8211A">
      <w:rPr>
        <w:rFonts w:cs="Arial"/>
        <w:noProof/>
        <w:color w:val="22272B" w:themeColor="text1"/>
      </w:rPr>
      <mc:AlternateContent>
        <mc:Choice Requires="wps">
          <w:drawing>
            <wp:anchor distT="0" distB="0" distL="0" distR="0" simplePos="0" relativeHeight="251666433" behindDoc="0" locked="0" layoutInCell="1" allowOverlap="1" wp14:anchorId="5AE1D476" wp14:editId="3280DB60">
              <wp:simplePos x="914400" y="6943725"/>
              <wp:positionH relativeFrom="page">
                <wp:align>center</wp:align>
              </wp:positionH>
              <wp:positionV relativeFrom="page">
                <wp:align>bottom</wp:align>
              </wp:positionV>
              <wp:extent cx="443865" cy="443865"/>
              <wp:effectExtent l="0" t="0" r="8890" b="0"/>
              <wp:wrapNone/>
              <wp:docPr id="9" name="Text Box 9">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1F4395B" w14:textId="41495710"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AE1D476" id="_x0000_t202" coordsize="21600,21600" o:spt="202" path="m,l,21600r21600,l21600,xe">
              <v:stroke joinstyle="miter"/>
              <v:path gradientshapeok="t" o:connecttype="rect"/>
            </v:shapetype>
            <v:shape id="Text Box 9" o:spid="_x0000_s1028" type="#_x0000_t202" alt="&quot;&quot;" style="position:absolute;margin-left:0;margin-top:0;width:34.95pt;height:34.95pt;z-index:25166643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1F4395B" w14:textId="41495710"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r w:rsidR="00DE7904" w:rsidRPr="00B8211A">
      <w:rPr>
        <w:rFonts w:eastAsia="Times New Roman" w:cs="Arial"/>
        <w:color w:val="22272B" w:themeColor="text1"/>
        <w:spacing w:val="-5"/>
        <w:kern w:val="28"/>
      </w:rPr>
      <w:t xml:space="preserve">GRS </w:t>
    </w:r>
    <w:r w:rsidR="00B8211A" w:rsidRPr="00B8211A">
      <w:rPr>
        <w:rFonts w:eastAsia="Times New Roman" w:cs="Arial"/>
        <w:color w:val="22272B" w:themeColor="text1"/>
        <w:spacing w:val="-5"/>
        <w:kern w:val="28"/>
      </w:rPr>
      <w:t>Model Tender Clauses</w:t>
    </w:r>
    <w:r w:rsidR="00FC5D24" w:rsidRPr="00B8211A">
      <w:rPr>
        <w:rFonts w:eastAsia="Times New Roman" w:cs="Arial"/>
        <w:color w:val="441170"/>
        <w:spacing w:val="-5"/>
        <w:kern w:val="28"/>
      </w:rPr>
      <w:tab/>
      <w:t xml:space="preserve"> </w:t>
    </w:r>
    <w:r w:rsidR="00FC5D24" w:rsidRPr="00B8211A">
      <w:rPr>
        <w:rFonts w:eastAsia="Times New Roman" w:cs="Arial"/>
        <w:color w:val="441170"/>
        <w:spacing w:val="-5"/>
        <w:kern w:val="2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CC3843" w14:textId="2A5605BC" w:rsidR="00E4592B" w:rsidRDefault="00E4592B">
    <w:pPr>
      <w:pStyle w:val="Footer"/>
    </w:pPr>
    <w:r>
      <w:rPr>
        <w:noProof/>
      </w:rPr>
      <mc:AlternateContent>
        <mc:Choice Requires="wps">
          <w:drawing>
            <wp:anchor distT="0" distB="0" distL="0" distR="0" simplePos="0" relativeHeight="251664385" behindDoc="0" locked="0" layoutInCell="1" allowOverlap="1" wp14:anchorId="4126C767" wp14:editId="284F5104">
              <wp:simplePos x="635" y="635"/>
              <wp:positionH relativeFrom="page">
                <wp:align>center</wp:align>
              </wp:positionH>
              <wp:positionV relativeFrom="page">
                <wp:align>bottom</wp:align>
              </wp:positionV>
              <wp:extent cx="443865" cy="443865"/>
              <wp:effectExtent l="0" t="0" r="8890" b="0"/>
              <wp:wrapNone/>
              <wp:docPr id="7" name="Text Box 7">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6827150" w14:textId="3541FCB4"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26C767" id="_x0000_t202" coordsize="21600,21600" o:spt="202" path="m,l,21600r21600,l21600,xe">
              <v:stroke joinstyle="miter"/>
              <v:path gradientshapeok="t" o:connecttype="rect"/>
            </v:shapetype>
            <v:shape id="Text Box 7" o:spid="_x0000_s1030" type="#_x0000_t202" alt="&quot;&quot;" style="position:absolute;margin-left:0;margin-top:0;width:34.95pt;height:34.95pt;z-index:25166438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sGRCgIAABw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" filled="f" stroked="f">
              <v:textbox style="mso-fit-shape-to-text:t" inset="0,0,0,15pt">
                <w:txbxContent>
                  <w:p w14:paraId="66827150" w14:textId="3541FCB4"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8728" w14:textId="3A114B3C" w:rsidR="006A43ED" w:rsidRDefault="006A43ED" w:rsidP="00805518">
    <w:pPr>
      <w:pStyle w:val="Footer"/>
      <w:rPr>
        <w:rFonts w:eastAsia="Times New Roman" w:cs="Arial"/>
        <w:color w:val="22272B" w:themeColor="text1"/>
        <w:spacing w:val="-5"/>
        <w:kern w:val="28"/>
      </w:rPr>
    </w:pPr>
  </w:p>
  <w:p w14:paraId="51A7B9DC" w14:textId="1ECAB822" w:rsidR="006A43ED" w:rsidRPr="00B8211A" w:rsidRDefault="006A43ED" w:rsidP="00805518">
    <w:pPr>
      <w:pStyle w:val="Footer"/>
      <w:rPr>
        <w:rFonts w:cs="Arial"/>
      </w:rPr>
    </w:pPr>
    <w:r w:rsidRPr="00B8211A">
      <w:rPr>
        <w:rFonts w:cs="Arial"/>
        <w:noProof/>
        <w:color w:val="22272B" w:themeColor="text1"/>
      </w:rPr>
      <mc:AlternateContent>
        <mc:Choice Requires="wps">
          <w:drawing>
            <wp:anchor distT="0" distB="0" distL="114300" distR="114300" simplePos="0" relativeHeight="251670529" behindDoc="0" locked="0" layoutInCell="1" allowOverlap="1" wp14:anchorId="2A920CD5" wp14:editId="40030E09">
              <wp:simplePos x="0" y="0"/>
              <wp:positionH relativeFrom="margin">
                <wp:posOffset>-1248410</wp:posOffset>
              </wp:positionH>
              <wp:positionV relativeFrom="paragraph">
                <wp:posOffset>3246120</wp:posOffset>
              </wp:positionV>
              <wp:extent cx="11081442" cy="0"/>
              <wp:effectExtent l="0" t="0" r="0" b="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1081442" cy="0"/>
                      </a:xfrm>
                      <a:prstGeom prst="line">
                        <a:avLst/>
                      </a:prstGeom>
                      <a:ln w="6350">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09CE2B" id="Straight Connector 2" o:spid="_x0000_s1026" alt="&quot;&quot;" style="position:absolute;z-index:25167052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98.3pt,255.6pt" to="774.25pt,25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" strokecolor="#22272b [3213]" strokeweight=".5pt">
              <v:stroke joinstyle="miter"/>
              <w10:wrap anchorx="margin"/>
            </v:line>
          </w:pict>
        </mc:Fallback>
      </mc:AlternateContent>
    </w:r>
    <w:r w:rsidRPr="00B8211A">
      <w:rPr>
        <w:rFonts w:cs="Arial"/>
        <w:noProof/>
        <w:color w:val="22272B" w:themeColor="text1"/>
      </w:rPr>
      <mc:AlternateContent>
        <mc:Choice Requires="wps">
          <w:drawing>
            <wp:anchor distT="0" distB="0" distL="0" distR="0" simplePos="0" relativeHeight="251671553" behindDoc="0" locked="0" layoutInCell="1" allowOverlap="1" wp14:anchorId="503E541F" wp14:editId="05E3BC68">
              <wp:simplePos x="914400" y="6943725"/>
              <wp:positionH relativeFrom="page">
                <wp:align>center</wp:align>
              </wp:positionH>
              <wp:positionV relativeFrom="page">
                <wp:align>bottom</wp:align>
              </wp:positionV>
              <wp:extent cx="443865" cy="443865"/>
              <wp:effectExtent l="0" t="0" r="8890" b="0"/>
              <wp:wrapNone/>
              <wp:docPr id="6" name="Text Box 6">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3BC30C0" w14:textId="77777777" w:rsidR="006A43ED" w:rsidRPr="00E4592B" w:rsidRDefault="006A43ED"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03E541F" id="_x0000_t202" coordsize="21600,21600" o:spt="202" path="m,l,21600r21600,l21600,xe">
              <v:stroke joinstyle="miter"/>
              <v:path gradientshapeok="t" o:connecttype="rect"/>
            </v:shapetype>
            <v:shape id="Text Box 6" o:spid="_x0000_s1031" type="#_x0000_t202" alt="&quot;&quot;" style="position:absolute;margin-left:0;margin-top:0;width:34.95pt;height:34.95pt;z-index:25167155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vhc6wLAgAAHAQAAA4A&#10;AAAAAAAAAAAAAAAALgIAAGRycy9lMm9Eb2MueG1sUEsBAi0AFAAGAAgAAAAhADft0fjZAAAAAwEA&#10;AA8AAAAAAAAAAAAAAAAAZQQAAGRycy9kb3ducmV2LnhtbFBLBQYAAAAABAAEAPMAAABrBQAAAAA=&#10;" filled="f" stroked="f">
              <v:textbox style="mso-fit-shape-to-text:t" inset="0,0,0,15pt">
                <w:txbxContent>
                  <w:p w14:paraId="43BC30C0" w14:textId="77777777" w:rsidR="006A43ED" w:rsidRPr="00E4592B" w:rsidRDefault="006A43ED"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r w:rsidRPr="00B8211A">
      <w:rPr>
        <w:rFonts w:eastAsia="Times New Roman" w:cs="Arial"/>
        <w:color w:val="22272B" w:themeColor="text1"/>
        <w:spacing w:val="-5"/>
        <w:kern w:val="28"/>
      </w:rPr>
      <w:t>GRS Model Tender Clauses</w:t>
    </w:r>
    <w:r w:rsidRPr="00B8211A">
      <w:rPr>
        <w:rFonts w:eastAsia="Times New Roman" w:cs="Arial"/>
        <w:color w:val="441170"/>
        <w:spacing w:val="-5"/>
        <w:kern w:val="28"/>
      </w:rPr>
      <w:tab/>
      <w:t xml:space="preserve"> </w:t>
    </w:r>
    <w:r w:rsidRPr="00B8211A">
      <w:rPr>
        <w:rFonts w:eastAsia="Times New Roman" w:cs="Arial"/>
        <w:color w:val="441170"/>
        <w:spacing w:val="-5"/>
        <w:kern w:val="2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C76F4" w14:textId="77777777" w:rsidR="001121BD" w:rsidRDefault="001121BD" w:rsidP="002203D0">
      <w:pPr>
        <w:spacing w:line="240" w:lineRule="auto"/>
      </w:pPr>
      <w:r>
        <w:separator/>
      </w:r>
    </w:p>
  </w:footnote>
  <w:footnote w:type="continuationSeparator" w:id="0">
    <w:p w14:paraId="2DABFFD3" w14:textId="77777777" w:rsidR="001121BD" w:rsidRDefault="001121BD" w:rsidP="002203D0">
      <w:pPr>
        <w:spacing w:line="240" w:lineRule="auto"/>
      </w:pPr>
      <w:r>
        <w:continuationSeparator/>
      </w:r>
    </w:p>
  </w:footnote>
  <w:footnote w:type="continuationNotice" w:id="1">
    <w:p w14:paraId="292C8790" w14:textId="77777777" w:rsidR="001121BD" w:rsidRDefault="001121BD">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A69F" w14:textId="0E86F9AE" w:rsidR="00E4592B" w:rsidRDefault="00E4592B">
    <w:pPr>
      <w:pStyle w:val="Header"/>
    </w:pPr>
    <w:r>
      <w:rPr>
        <w:noProof/>
      </w:rPr>
      <mc:AlternateContent>
        <mc:Choice Requires="wps">
          <w:drawing>
            <wp:anchor distT="0" distB="0" distL="0" distR="0" simplePos="0" relativeHeight="251662337" behindDoc="0" locked="0" layoutInCell="1" allowOverlap="1" wp14:anchorId="6B25305F" wp14:editId="2F252AE2">
              <wp:simplePos x="635" y="635"/>
              <wp:positionH relativeFrom="page">
                <wp:align>center</wp:align>
              </wp:positionH>
              <wp:positionV relativeFrom="page">
                <wp:align>top</wp:align>
              </wp:positionV>
              <wp:extent cx="443865" cy="443865"/>
              <wp:effectExtent l="0" t="0" r="8890" b="6350"/>
              <wp:wrapNone/>
              <wp:docPr id="5" name="Text Box 5">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98774B" w14:textId="68253A8E"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B25305F" id="_x0000_t202" coordsize="21600,21600" o:spt="202" path="m,l,21600r21600,l21600,xe">
              <v:stroke joinstyle="miter"/>
              <v:path gradientshapeok="t" o:connecttype="rect"/>
            </v:shapetype>
            <v:shape id="Text Box 5" o:spid="_x0000_s1026" type="#_x0000_t202" alt="&quot;&quot;" style="position:absolute;margin-left:0;margin-top:0;width:34.95pt;height:34.95pt;z-index:251662337;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0498774B" w14:textId="68253A8E"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F5670" w14:textId="6C9D5AAC" w:rsidR="002C1267" w:rsidRPr="002C1267" w:rsidRDefault="002C1267">
    <w:pPr>
      <w:pStyle w:val="Header"/>
      <w:rPr>
        <w:rFonts w:cs="Arial"/>
      </w:rPr>
    </w:pPr>
    <w:r w:rsidRPr="00534F1A">
      <w:rPr>
        <w:rFonts w:cs="Arial"/>
      </w:rPr>
      <w:t>Office of the NSW Anti-slavery Commissioner</w:t>
    </w:r>
    <w:r w:rsidR="006A43ED">
      <w:rPr>
        <w:rFonts w:cs="Arial"/>
      </w:rPr>
      <w:tab/>
    </w:r>
    <w:r w:rsidR="006A43ED">
      <w:rPr>
        <w:rFonts w:cs="Arial"/>
      </w:rPr>
      <w:tab/>
    </w:r>
    <w:r w:rsidR="006A43ED">
      <w:rPr>
        <w:rFonts w:cs="Arial"/>
      </w:rPr>
      <w:tab/>
    </w:r>
    <w:r w:rsidR="006A43ED">
      <w:rPr>
        <w:rFonts w:cs="Arial"/>
      </w:rPr>
      <w:tab/>
    </w:r>
    <w:r w:rsidR="006A43ED" w:rsidRPr="00534F1A">
      <w:rPr>
        <w:rFonts w:eastAsia="Times New Roman" w:cs="Arial"/>
        <w:color w:val="22272B" w:themeColor="text1"/>
        <w:spacing w:val="-5"/>
        <w:kern w:val="28"/>
      </w:rPr>
      <w:t>dcjnsw.info/</w:t>
    </w:r>
    <w:proofErr w:type="spellStart"/>
    <w:r w:rsidR="006A43ED" w:rsidRPr="00534F1A">
      <w:rPr>
        <w:rFonts w:eastAsia="Times New Roman" w:cs="Arial"/>
        <w:color w:val="22272B" w:themeColor="text1"/>
        <w:spacing w:val="-5"/>
        <w:kern w:val="28"/>
      </w:rPr>
      <w:t>antislaverycommissioner</w:t>
    </w:r>
    <w:proofErr w:type="spellEnd"/>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64A075" w14:textId="1A152219" w:rsidR="00E4592B" w:rsidRDefault="00E4592B">
    <w:pPr>
      <w:pStyle w:val="Header"/>
    </w:pPr>
    <w:r>
      <w:rPr>
        <w:noProof/>
      </w:rPr>
      <mc:AlternateContent>
        <mc:Choice Requires="wps">
          <w:drawing>
            <wp:anchor distT="0" distB="0" distL="0" distR="0" simplePos="0" relativeHeight="251661313" behindDoc="0" locked="0" layoutInCell="1" allowOverlap="1" wp14:anchorId="37C9CDC2" wp14:editId="146CADAC">
              <wp:simplePos x="635" y="635"/>
              <wp:positionH relativeFrom="page">
                <wp:align>center</wp:align>
              </wp:positionH>
              <wp:positionV relativeFrom="page">
                <wp:align>top</wp:align>
              </wp:positionV>
              <wp:extent cx="443865" cy="443865"/>
              <wp:effectExtent l="0" t="0" r="8890" b="6350"/>
              <wp:wrapNone/>
              <wp:docPr id="3" name="Text Box 3">
                <a:extLst xmlns:a="http://schemas.openxmlformats.org/drawingml/2006/main">
                  <a:ext uri="{C183D7F6-B498-43B3-948B-1728B52AA6E4}">
                    <adec:decorative xmlns:adec="http://schemas.microsoft.com/office/drawing/2017/decorative" val="1"/>
                  </a:ext>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8FF5A4" w14:textId="08CF4E5A"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7C9CDC2" id="_x0000_t202" coordsize="21600,21600" o:spt="202" path="m,l,21600r21600,l21600,xe">
              <v:stroke joinstyle="miter"/>
              <v:path gradientshapeok="t" o:connecttype="rect"/>
            </v:shapetype>
            <v:shape id="Text Box 3" o:spid="_x0000_s1029" type="#_x0000_t202" alt="&quot;&quot;" style="position:absolute;margin-left:0;margin-top:0;width:34.95pt;height:34.95pt;z-index:25166131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178FF5A4" w14:textId="08CF4E5A" w:rsidR="00E4592B" w:rsidRPr="00E4592B" w:rsidRDefault="00E4592B" w:rsidP="00E4592B">
                    <w:pPr>
                      <w:rPr>
                        <w:rFonts w:ascii="Calibri" w:eastAsia="Calibri" w:hAnsi="Calibri" w:cs="Calibri"/>
                        <w:noProof/>
                        <w:color w:val="FF0000"/>
                      </w:rPr>
                    </w:pPr>
                    <w:r w:rsidRPr="00E4592B">
                      <w:rPr>
                        <w:rFonts w:ascii="Calibri" w:eastAsia="Calibri" w:hAnsi="Calibri" w:cs="Calibri"/>
                        <w:noProof/>
                        <w:color w:val="FF000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605E7"/>
    <w:multiLevelType w:val="hybridMultilevel"/>
    <w:tmpl w:val="588699F0"/>
    <w:lvl w:ilvl="0" w:tplc="93165F24">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 w15:restartNumberingAfterBreak="0">
    <w:nsid w:val="1541C0E0"/>
    <w:multiLevelType w:val="hybridMultilevel"/>
    <w:tmpl w:val="FFFFFFFF"/>
    <w:lvl w:ilvl="0" w:tplc="B7FCB306">
      <w:start w:val="1"/>
      <w:numFmt w:val="decimal"/>
      <w:lvlText w:val="%1."/>
      <w:lvlJc w:val="left"/>
      <w:pPr>
        <w:ind w:left="720" w:hanging="360"/>
      </w:pPr>
    </w:lvl>
    <w:lvl w:ilvl="1" w:tplc="89C820AC">
      <w:start w:val="1"/>
      <w:numFmt w:val="lowerLetter"/>
      <w:lvlText w:val="%2."/>
      <w:lvlJc w:val="left"/>
      <w:pPr>
        <w:ind w:left="1440" w:hanging="360"/>
      </w:pPr>
    </w:lvl>
    <w:lvl w:ilvl="2" w:tplc="B3228DBA">
      <w:start w:val="1"/>
      <w:numFmt w:val="lowerRoman"/>
      <w:lvlText w:val="%3."/>
      <w:lvlJc w:val="right"/>
      <w:pPr>
        <w:ind w:left="2160" w:hanging="180"/>
      </w:pPr>
    </w:lvl>
    <w:lvl w:ilvl="3" w:tplc="7E92421A">
      <w:start w:val="1"/>
      <w:numFmt w:val="lowerRoman"/>
      <w:lvlText w:val="(%4)"/>
      <w:lvlJc w:val="left"/>
      <w:pPr>
        <w:ind w:left="2880" w:hanging="360"/>
      </w:pPr>
    </w:lvl>
    <w:lvl w:ilvl="4" w:tplc="3D02D6FC">
      <w:start w:val="1"/>
      <w:numFmt w:val="lowerLetter"/>
      <w:lvlText w:val="%5."/>
      <w:lvlJc w:val="left"/>
      <w:pPr>
        <w:ind w:left="3600" w:hanging="360"/>
      </w:pPr>
    </w:lvl>
    <w:lvl w:ilvl="5" w:tplc="356E408E">
      <w:start w:val="1"/>
      <w:numFmt w:val="lowerRoman"/>
      <w:lvlText w:val="%6."/>
      <w:lvlJc w:val="right"/>
      <w:pPr>
        <w:ind w:left="4320" w:hanging="180"/>
      </w:pPr>
    </w:lvl>
    <w:lvl w:ilvl="6" w:tplc="11B6E884">
      <w:start w:val="1"/>
      <w:numFmt w:val="decimal"/>
      <w:lvlText w:val="%7."/>
      <w:lvlJc w:val="left"/>
      <w:pPr>
        <w:ind w:left="5040" w:hanging="360"/>
      </w:pPr>
    </w:lvl>
    <w:lvl w:ilvl="7" w:tplc="9190BC78">
      <w:start w:val="1"/>
      <w:numFmt w:val="lowerLetter"/>
      <w:lvlText w:val="%8."/>
      <w:lvlJc w:val="left"/>
      <w:pPr>
        <w:ind w:left="5760" w:hanging="360"/>
      </w:pPr>
    </w:lvl>
    <w:lvl w:ilvl="8" w:tplc="C5D2AC26">
      <w:start w:val="1"/>
      <w:numFmt w:val="lowerRoman"/>
      <w:lvlText w:val="%9."/>
      <w:lvlJc w:val="right"/>
      <w:pPr>
        <w:ind w:left="6480" w:hanging="180"/>
      </w:pPr>
    </w:lvl>
  </w:abstractNum>
  <w:abstractNum w:abstractNumId="2" w15:restartNumberingAfterBreak="0">
    <w:nsid w:val="191E423E"/>
    <w:multiLevelType w:val="hybridMultilevel"/>
    <w:tmpl w:val="6CC8D58E"/>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0E77ECA"/>
    <w:multiLevelType w:val="hybridMultilevel"/>
    <w:tmpl w:val="E4F645CE"/>
    <w:lvl w:ilvl="0" w:tplc="15E42C68">
      <w:start w:val="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 w15:restartNumberingAfterBreak="0">
    <w:nsid w:val="2C050775"/>
    <w:multiLevelType w:val="hybridMultilevel"/>
    <w:tmpl w:val="4296F51E"/>
    <w:lvl w:ilvl="0" w:tplc="A38813BA">
      <w:start w:val="1"/>
      <w:numFmt w:val="lowerLetter"/>
      <w:lvlText w:val="(%1)"/>
      <w:lvlJc w:val="left"/>
      <w:pPr>
        <w:ind w:left="1069" w:hanging="360"/>
      </w:p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start w:val="1"/>
      <w:numFmt w:val="decimal"/>
      <w:lvlText w:val="%4."/>
      <w:lvlJc w:val="left"/>
      <w:pPr>
        <w:ind w:left="3229" w:hanging="360"/>
      </w:pPr>
    </w:lvl>
    <w:lvl w:ilvl="4" w:tplc="0C090019">
      <w:start w:val="1"/>
      <w:numFmt w:val="lowerLetter"/>
      <w:lvlText w:val="%5."/>
      <w:lvlJc w:val="left"/>
      <w:pPr>
        <w:ind w:left="3949" w:hanging="360"/>
      </w:pPr>
    </w:lvl>
    <w:lvl w:ilvl="5" w:tplc="0C09001B">
      <w:start w:val="1"/>
      <w:numFmt w:val="lowerRoman"/>
      <w:lvlText w:val="%6."/>
      <w:lvlJc w:val="right"/>
      <w:pPr>
        <w:ind w:left="4669" w:hanging="180"/>
      </w:pPr>
    </w:lvl>
    <w:lvl w:ilvl="6" w:tplc="0C09000F">
      <w:start w:val="1"/>
      <w:numFmt w:val="decimal"/>
      <w:lvlText w:val="%7."/>
      <w:lvlJc w:val="left"/>
      <w:pPr>
        <w:ind w:left="5389" w:hanging="360"/>
      </w:pPr>
    </w:lvl>
    <w:lvl w:ilvl="7" w:tplc="0C090019">
      <w:start w:val="1"/>
      <w:numFmt w:val="lowerLetter"/>
      <w:lvlText w:val="%8."/>
      <w:lvlJc w:val="left"/>
      <w:pPr>
        <w:ind w:left="6109" w:hanging="360"/>
      </w:pPr>
    </w:lvl>
    <w:lvl w:ilvl="8" w:tplc="0C09001B">
      <w:start w:val="1"/>
      <w:numFmt w:val="lowerRoman"/>
      <w:lvlText w:val="%9."/>
      <w:lvlJc w:val="right"/>
      <w:pPr>
        <w:ind w:left="6829" w:hanging="180"/>
      </w:pPr>
    </w:lvl>
  </w:abstractNum>
  <w:abstractNum w:abstractNumId="5" w15:restartNumberingAfterBreak="0">
    <w:nsid w:val="364E14D9"/>
    <w:multiLevelType w:val="multilevel"/>
    <w:tmpl w:val="4B380B8A"/>
    <w:lvl w:ilvl="0">
      <w:start w:val="1"/>
      <w:numFmt w:val="decimal"/>
      <w:pStyle w:val="AllensHeading1"/>
      <w:lvlText w:val="%1"/>
      <w:lvlJc w:val="left"/>
      <w:pPr>
        <w:tabs>
          <w:tab w:val="num" w:pos="709"/>
        </w:tabs>
        <w:ind w:left="709" w:hanging="709"/>
      </w:pPr>
    </w:lvl>
    <w:lvl w:ilvl="1">
      <w:start w:val="1"/>
      <w:numFmt w:val="decimal"/>
      <w:pStyle w:val="AllensHeading2"/>
      <w:lvlText w:val="%1.%2"/>
      <w:lvlJc w:val="left"/>
      <w:pPr>
        <w:tabs>
          <w:tab w:val="num" w:pos="709"/>
        </w:tabs>
        <w:ind w:left="709" w:hanging="709"/>
      </w:pPr>
    </w:lvl>
    <w:lvl w:ilvl="2">
      <w:start w:val="1"/>
      <w:numFmt w:val="lowerLetter"/>
      <w:pStyle w:val="AllensHeading3"/>
      <w:lvlText w:val="(%3)"/>
      <w:lvlJc w:val="left"/>
      <w:pPr>
        <w:tabs>
          <w:tab w:val="num" w:pos="709"/>
        </w:tabs>
        <w:ind w:left="709" w:hanging="709"/>
      </w:pPr>
    </w:lvl>
    <w:lvl w:ilvl="3">
      <w:numFmt w:val="decimal"/>
      <w:pStyle w:val="AllensHeading4"/>
      <w:lvlText w:val="(%4)"/>
      <w:lvlJc w:val="left"/>
      <w:pPr>
        <w:tabs>
          <w:tab w:val="num" w:pos="2126"/>
        </w:tabs>
        <w:ind w:left="2126" w:hanging="708"/>
      </w:pPr>
      <w:rPr>
        <w:rFonts w:ascii="Public Sans Light" w:hAnsi="Public Sans Light" w:cs="Times New Roman" w:hint="default"/>
      </w:rPr>
    </w:lvl>
    <w:lvl w:ilvl="4">
      <w:start w:val="1"/>
      <w:numFmt w:val="upperLetter"/>
      <w:pStyle w:val="AllensHeading5"/>
      <w:lvlText w:val="(%5)"/>
      <w:lvlJc w:val="left"/>
      <w:pPr>
        <w:tabs>
          <w:tab w:val="num" w:pos="2835"/>
        </w:tabs>
        <w:ind w:left="2835" w:hanging="709"/>
      </w:pPr>
    </w:lvl>
    <w:lvl w:ilvl="5">
      <w:start w:val="1"/>
      <w:numFmt w:val="decimal"/>
      <w:pStyle w:val="AllensHeading6"/>
      <w:lvlText w:val="(%6)"/>
      <w:lvlJc w:val="left"/>
      <w:pPr>
        <w:tabs>
          <w:tab w:val="num" w:pos="3544"/>
        </w:tabs>
        <w:ind w:left="3544" w:hanging="709"/>
      </w:pPr>
    </w:lvl>
    <w:lvl w:ilvl="6">
      <w:start w:val="2"/>
      <w:numFmt w:val="decimal"/>
      <w:lvlRestart w:val="0"/>
      <w:lvlText w:val=""/>
      <w:lvlJc w:val="left"/>
      <w:pPr>
        <w:ind w:left="0" w:firstLine="0"/>
      </w:pPr>
    </w:lvl>
    <w:lvl w:ilvl="7">
      <w:numFmt w:val="decimal"/>
      <w:lvlRestart w:val="0"/>
      <w:lvlText w:val=""/>
      <w:lvlJc w:val="left"/>
      <w:pPr>
        <w:ind w:left="0" w:firstLine="0"/>
      </w:pPr>
    </w:lvl>
    <w:lvl w:ilvl="8">
      <w:numFmt w:val="decimal"/>
      <w:lvlRestart w:val="0"/>
      <w:lvlText w:val=""/>
      <w:lvlJc w:val="left"/>
      <w:pPr>
        <w:ind w:left="0" w:firstLine="0"/>
      </w:pPr>
    </w:lvl>
  </w:abstractNum>
  <w:abstractNum w:abstractNumId="6" w15:restartNumberingAfterBreak="0">
    <w:nsid w:val="39CF0760"/>
    <w:multiLevelType w:val="hybridMultilevel"/>
    <w:tmpl w:val="2F7869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D5A7286"/>
    <w:multiLevelType w:val="multilevel"/>
    <w:tmpl w:val="C2247D0E"/>
    <w:lvl w:ilvl="0">
      <w:start w:val="1"/>
      <w:numFmt w:val="decimal"/>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lowerLetter"/>
      <w:lvlText w:val="(%3)"/>
      <w:lvlJc w:val="left"/>
      <w:pPr>
        <w:tabs>
          <w:tab w:val="num" w:pos="709"/>
        </w:tabs>
        <w:ind w:left="709" w:hanging="709"/>
      </w:pPr>
    </w:lvl>
    <w:lvl w:ilvl="3">
      <w:start w:val="1"/>
      <w:numFmt w:val="lowerRoman"/>
      <w:lvlText w:val="(%4)"/>
      <w:lvlJc w:val="left"/>
      <w:pPr>
        <w:tabs>
          <w:tab w:val="num" w:pos="2126"/>
        </w:tabs>
        <w:ind w:left="2126" w:hanging="708"/>
      </w:pPr>
      <w:rPr>
        <w:rFonts w:ascii="Public Sans Light" w:hAnsi="Public Sans Light" w:cs="Times New Roman" w:hint="default"/>
      </w:rPr>
    </w:lvl>
    <w:lvl w:ilvl="4">
      <w:start w:val="1"/>
      <w:numFmt w:val="upperLetter"/>
      <w:lvlText w:val="(%5)"/>
      <w:lvlJc w:val="left"/>
      <w:pPr>
        <w:tabs>
          <w:tab w:val="num" w:pos="2835"/>
        </w:tabs>
        <w:ind w:left="2835" w:hanging="709"/>
      </w:pPr>
    </w:lvl>
    <w:lvl w:ilvl="5">
      <w:start w:val="1"/>
      <w:numFmt w:val="decimal"/>
      <w:lvlText w:val="(%6)"/>
      <w:lvlJc w:val="left"/>
      <w:pPr>
        <w:tabs>
          <w:tab w:val="num" w:pos="3544"/>
        </w:tabs>
        <w:ind w:left="3544" w:hanging="709"/>
      </w:pPr>
    </w:lvl>
    <w:lvl w:ilvl="6">
      <w:start w:val="2"/>
      <w:numFmt w:val="decimal"/>
      <w:lvlRestart w:val="0"/>
      <w:lvlText w:val=""/>
      <w:lvlJc w:val="left"/>
      <w:pPr>
        <w:ind w:left="0" w:firstLine="0"/>
      </w:pPr>
    </w:lvl>
    <w:lvl w:ilvl="7">
      <w:start w:val="1"/>
      <w:numFmt w:val="decimal"/>
      <w:lvlRestart w:val="0"/>
      <w:lvlText w:val=""/>
      <w:lvlJc w:val="left"/>
      <w:pPr>
        <w:ind w:left="0" w:firstLine="0"/>
      </w:pPr>
    </w:lvl>
    <w:lvl w:ilvl="8">
      <w:start w:val="1"/>
      <w:numFmt w:val="decimal"/>
      <w:lvlRestart w:val="0"/>
      <w:lvlText w:val=""/>
      <w:lvlJc w:val="left"/>
      <w:pPr>
        <w:ind w:left="0" w:firstLine="0"/>
      </w:pPr>
    </w:lvl>
  </w:abstractNum>
  <w:abstractNum w:abstractNumId="8" w15:restartNumberingAfterBreak="0">
    <w:nsid w:val="505C1821"/>
    <w:multiLevelType w:val="hybridMultilevel"/>
    <w:tmpl w:val="840C4DCE"/>
    <w:lvl w:ilvl="0" w:tplc="55BEC886">
      <w:start w:val="1"/>
      <w:numFmt w:val="bullet"/>
      <w:pStyle w:val="ListBullet1"/>
      <w:lvlText w:val=""/>
      <w:lvlJc w:val="left"/>
      <w:pPr>
        <w:tabs>
          <w:tab w:val="num" w:pos="357"/>
        </w:tabs>
        <w:ind w:left="357" w:hanging="357"/>
      </w:pPr>
      <w:rPr>
        <w:rFonts w:ascii="Symbol" w:hAnsi="Symbol" w:hint="default"/>
        <w:color w:val="22272B" w:themeColor="text1"/>
        <w:sz w:val="2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3AE79B5"/>
    <w:multiLevelType w:val="hybridMultilevel"/>
    <w:tmpl w:val="23F6EB12"/>
    <w:lvl w:ilvl="0" w:tplc="F3D00BA6">
      <w:start w:val="1"/>
      <w:numFmt w:val="bullet"/>
      <w:pStyle w:val="ListBullet21"/>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DE7202C"/>
    <w:multiLevelType w:val="hybridMultilevel"/>
    <w:tmpl w:val="1422BB92"/>
    <w:lvl w:ilvl="0" w:tplc="15E42C68">
      <w:start w:val="3"/>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 w15:restartNumberingAfterBreak="0">
    <w:nsid w:val="76137A12"/>
    <w:multiLevelType w:val="hybridMultilevel"/>
    <w:tmpl w:val="9CF4CB8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16cid:durableId="384985819">
    <w:abstractNumId w:val="8"/>
  </w:num>
  <w:num w:numId="2" w16cid:durableId="275791939">
    <w:abstractNumId w:val="9"/>
  </w:num>
  <w:num w:numId="3" w16cid:durableId="1733695654">
    <w:abstractNumId w:val="1"/>
  </w:num>
  <w:num w:numId="4" w16cid:durableId="27540848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5" w16cid:durableId="1930774377">
    <w:abstractNumId w:val="5"/>
  </w:num>
  <w:num w:numId="6" w16cid:durableId="9017157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4513608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14644359">
    <w:abstractNumId w:val="11"/>
  </w:num>
  <w:num w:numId="9" w16cid:durableId="483858177">
    <w:abstractNumId w:val="10"/>
  </w:num>
  <w:num w:numId="10" w16cid:durableId="920061445">
    <w:abstractNumId w:val="3"/>
  </w:num>
  <w:num w:numId="11" w16cid:durableId="325522459">
    <w:abstractNumId w:val="3"/>
  </w:num>
  <w:num w:numId="12" w16cid:durableId="44374334">
    <w:abstractNumId w:val="0"/>
  </w:num>
  <w:num w:numId="13" w16cid:durableId="1582905085">
    <w:abstractNumId w:val="6"/>
  </w:num>
  <w:num w:numId="14" w16cid:durableId="867723468">
    <w:abstractNumId w:val="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2"/>
    </w:lvlOverride>
    <w:lvlOverride w:ilvl="7"/>
    <w:lvlOverride w:ilvl="8"/>
  </w:num>
  <w:num w:numId="15" w16cid:durableId="17879629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A92"/>
    <w:rsid w:val="00040A94"/>
    <w:rsid w:val="00091512"/>
    <w:rsid w:val="000C35D8"/>
    <w:rsid w:val="000F0A8C"/>
    <w:rsid w:val="000F3D3B"/>
    <w:rsid w:val="001121BD"/>
    <w:rsid w:val="00115700"/>
    <w:rsid w:val="00131EA5"/>
    <w:rsid w:val="00165B64"/>
    <w:rsid w:val="0018387F"/>
    <w:rsid w:val="0019699F"/>
    <w:rsid w:val="00197E54"/>
    <w:rsid w:val="001A3E5D"/>
    <w:rsid w:val="001B0E9D"/>
    <w:rsid w:val="001C3F97"/>
    <w:rsid w:val="00205F37"/>
    <w:rsid w:val="0021066A"/>
    <w:rsid w:val="002203D0"/>
    <w:rsid w:val="002367A1"/>
    <w:rsid w:val="00242EF5"/>
    <w:rsid w:val="00267194"/>
    <w:rsid w:val="00296F39"/>
    <w:rsid w:val="002C1267"/>
    <w:rsid w:val="002C2DE4"/>
    <w:rsid w:val="002D1C9E"/>
    <w:rsid w:val="002F7B5E"/>
    <w:rsid w:val="0030438C"/>
    <w:rsid w:val="003547C7"/>
    <w:rsid w:val="003A2869"/>
    <w:rsid w:val="003B2D0B"/>
    <w:rsid w:val="003B5CF5"/>
    <w:rsid w:val="003C4647"/>
    <w:rsid w:val="003D2A22"/>
    <w:rsid w:val="003E5311"/>
    <w:rsid w:val="004309A5"/>
    <w:rsid w:val="00447625"/>
    <w:rsid w:val="004977F0"/>
    <w:rsid w:val="004B22BB"/>
    <w:rsid w:val="004D3E7C"/>
    <w:rsid w:val="00532474"/>
    <w:rsid w:val="00554785"/>
    <w:rsid w:val="00576FC5"/>
    <w:rsid w:val="00583DC0"/>
    <w:rsid w:val="005C7220"/>
    <w:rsid w:val="005F3132"/>
    <w:rsid w:val="00613059"/>
    <w:rsid w:val="00613FA4"/>
    <w:rsid w:val="00694A00"/>
    <w:rsid w:val="006A43ED"/>
    <w:rsid w:val="006A59BA"/>
    <w:rsid w:val="006B053E"/>
    <w:rsid w:val="006B61A6"/>
    <w:rsid w:val="006C47E7"/>
    <w:rsid w:val="006D08B2"/>
    <w:rsid w:val="006D2859"/>
    <w:rsid w:val="006D516A"/>
    <w:rsid w:val="006E7EA0"/>
    <w:rsid w:val="0071314E"/>
    <w:rsid w:val="0073670A"/>
    <w:rsid w:val="007807E8"/>
    <w:rsid w:val="00784FDA"/>
    <w:rsid w:val="007911A6"/>
    <w:rsid w:val="007A0E9A"/>
    <w:rsid w:val="007B6CB6"/>
    <w:rsid w:val="007C4BD7"/>
    <w:rsid w:val="008005B1"/>
    <w:rsid w:val="00805518"/>
    <w:rsid w:val="00805A92"/>
    <w:rsid w:val="00811C20"/>
    <w:rsid w:val="008212BC"/>
    <w:rsid w:val="0085652A"/>
    <w:rsid w:val="0086430D"/>
    <w:rsid w:val="00876552"/>
    <w:rsid w:val="00876AC0"/>
    <w:rsid w:val="008860BB"/>
    <w:rsid w:val="008C6E6B"/>
    <w:rsid w:val="008D18C0"/>
    <w:rsid w:val="00907B71"/>
    <w:rsid w:val="0098543B"/>
    <w:rsid w:val="00990680"/>
    <w:rsid w:val="009A15D7"/>
    <w:rsid w:val="00A2676E"/>
    <w:rsid w:val="00A40842"/>
    <w:rsid w:val="00AF2EE4"/>
    <w:rsid w:val="00B01353"/>
    <w:rsid w:val="00B11335"/>
    <w:rsid w:val="00B12C46"/>
    <w:rsid w:val="00B24916"/>
    <w:rsid w:val="00B30DEE"/>
    <w:rsid w:val="00B72F30"/>
    <w:rsid w:val="00B8211A"/>
    <w:rsid w:val="00C13275"/>
    <w:rsid w:val="00C236A6"/>
    <w:rsid w:val="00C44CFC"/>
    <w:rsid w:val="00C614EF"/>
    <w:rsid w:val="00D07569"/>
    <w:rsid w:val="00D41A3D"/>
    <w:rsid w:val="00D47EA6"/>
    <w:rsid w:val="00D70A48"/>
    <w:rsid w:val="00D82FAA"/>
    <w:rsid w:val="00D830B5"/>
    <w:rsid w:val="00D976E1"/>
    <w:rsid w:val="00DA183B"/>
    <w:rsid w:val="00DC16BD"/>
    <w:rsid w:val="00DC703D"/>
    <w:rsid w:val="00DD2E31"/>
    <w:rsid w:val="00DE7904"/>
    <w:rsid w:val="00E0703B"/>
    <w:rsid w:val="00E12947"/>
    <w:rsid w:val="00E1598D"/>
    <w:rsid w:val="00E23485"/>
    <w:rsid w:val="00E362A9"/>
    <w:rsid w:val="00E43E08"/>
    <w:rsid w:val="00E4592B"/>
    <w:rsid w:val="00E84B08"/>
    <w:rsid w:val="00E9539B"/>
    <w:rsid w:val="00EC08AD"/>
    <w:rsid w:val="00EC65EE"/>
    <w:rsid w:val="00EE21B8"/>
    <w:rsid w:val="00F45D5B"/>
    <w:rsid w:val="00F54A7D"/>
    <w:rsid w:val="00F864DF"/>
    <w:rsid w:val="00FA33D4"/>
    <w:rsid w:val="00FA4D98"/>
    <w:rsid w:val="00FB2AF5"/>
    <w:rsid w:val="00FB5888"/>
    <w:rsid w:val="00FC5D24"/>
    <w:rsid w:val="00FD7EC2"/>
    <w:rsid w:val="00FF5D74"/>
    <w:rsid w:val="1CBFD9BA"/>
    <w:rsid w:val="559262BB"/>
    <w:rsid w:val="5BE8D2BD"/>
    <w:rsid w:val="648FC1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3A1F1B"/>
  <w15:chartTrackingRefBased/>
  <w15:docId w15:val="{D128264A-2360-4837-BC74-5CA6D3F3C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65EE"/>
    <w:pPr>
      <w:spacing w:before="100" w:after="0" w:line="288" w:lineRule="auto"/>
    </w:pPr>
    <w:rPr>
      <w:rFonts w:ascii="Arial" w:hAnsi="Arial"/>
      <w:sz w:val="20"/>
    </w:rPr>
  </w:style>
  <w:style w:type="paragraph" w:styleId="Heading1">
    <w:name w:val="heading 1"/>
    <w:basedOn w:val="Normal"/>
    <w:next w:val="Normal"/>
    <w:link w:val="Heading1Char"/>
    <w:uiPriority w:val="9"/>
    <w:qFormat/>
    <w:rsid w:val="001A3E5D"/>
    <w:pPr>
      <w:spacing w:line="240" w:lineRule="auto"/>
      <w:outlineLvl w:val="0"/>
    </w:pPr>
    <w:rPr>
      <w:rFonts w:cs="Arial"/>
      <w:color w:val="22272B" w:themeColor="text1"/>
      <w:sz w:val="44"/>
      <w:szCs w:val="44"/>
    </w:rPr>
  </w:style>
  <w:style w:type="paragraph" w:styleId="Heading2">
    <w:name w:val="heading 2"/>
    <w:basedOn w:val="Normal"/>
    <w:next w:val="Normal"/>
    <w:link w:val="Heading2Char"/>
    <w:uiPriority w:val="9"/>
    <w:unhideWhenUsed/>
    <w:qFormat/>
    <w:rsid w:val="001A3E5D"/>
    <w:pPr>
      <w:spacing w:before="0" w:after="160" w:line="259" w:lineRule="auto"/>
      <w:outlineLvl w:val="1"/>
    </w:pPr>
    <w:rPr>
      <w:rFonts w:eastAsia="Calibri" w:cs="Arial"/>
      <w:b/>
      <w:bCs/>
      <w:sz w:val="24"/>
      <w:szCs w:val="24"/>
      <w:lang w:eastAsia="zh-CN"/>
    </w:rPr>
  </w:style>
  <w:style w:type="paragraph" w:styleId="Heading3">
    <w:name w:val="heading 3"/>
    <w:basedOn w:val="AllensHeading1"/>
    <w:next w:val="Normal"/>
    <w:link w:val="Heading3Char"/>
    <w:uiPriority w:val="9"/>
    <w:unhideWhenUsed/>
    <w:qFormat/>
    <w:rsid w:val="001A3E5D"/>
    <w:pPr>
      <w:outlineLvl w:val="2"/>
    </w:pPr>
    <w:rPr>
      <w:rFonts w:eastAsia="Calibri"/>
    </w:rPr>
  </w:style>
  <w:style w:type="paragraph" w:styleId="Heading4">
    <w:name w:val="heading 4"/>
    <w:basedOn w:val="AllensHeading2"/>
    <w:next w:val="Normal"/>
    <w:link w:val="Heading4Char"/>
    <w:uiPriority w:val="9"/>
    <w:unhideWhenUsed/>
    <w:qFormat/>
    <w:rsid w:val="001A3E5D"/>
    <w:pPr>
      <w:outlineLvl w:val="3"/>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1">
    <w:name w:val="List Bullet1"/>
    <w:next w:val="ListBullet"/>
    <w:uiPriority w:val="10"/>
    <w:qFormat/>
    <w:rsid w:val="00805A92"/>
    <w:pPr>
      <w:numPr>
        <w:numId w:val="1"/>
      </w:numPr>
      <w:tabs>
        <w:tab w:val="clear" w:pos="357"/>
        <w:tab w:val="num" w:pos="360"/>
      </w:tabs>
      <w:suppressAutoHyphens/>
      <w:spacing w:before="120" w:after="120" w:line="240" w:lineRule="auto"/>
      <w:ind w:left="0" w:firstLine="0"/>
    </w:pPr>
    <w:rPr>
      <w:rFonts w:eastAsia="Arial" w:cs="Arial"/>
      <w:color w:val="22272B"/>
      <w:szCs w:val="20"/>
    </w:rPr>
  </w:style>
  <w:style w:type="paragraph" w:customStyle="1" w:styleId="ListBullet21">
    <w:name w:val="List Bullet 21"/>
    <w:next w:val="ListBullet2"/>
    <w:uiPriority w:val="10"/>
    <w:qFormat/>
    <w:rsid w:val="00805A92"/>
    <w:pPr>
      <w:numPr>
        <w:numId w:val="2"/>
      </w:numPr>
      <w:tabs>
        <w:tab w:val="clear" w:pos="714"/>
        <w:tab w:val="num" w:pos="360"/>
      </w:tabs>
      <w:suppressAutoHyphens/>
      <w:spacing w:before="120" w:after="120" w:line="240" w:lineRule="auto"/>
      <w:ind w:left="0" w:firstLine="0"/>
    </w:pPr>
    <w:rPr>
      <w:rFonts w:eastAsia="Arial" w:cs="ArialMT"/>
      <w:color w:val="22272B"/>
      <w:szCs w:val="24"/>
    </w:rPr>
  </w:style>
  <w:style w:type="table" w:customStyle="1" w:styleId="ListTable3-Accent31">
    <w:name w:val="List Table 3 - Accent 31"/>
    <w:basedOn w:val="TableNormal"/>
    <w:next w:val="ListTable3-Accent3"/>
    <w:uiPriority w:val="48"/>
    <w:rsid w:val="00805A92"/>
    <w:pPr>
      <w:spacing w:after="0" w:line="240" w:lineRule="auto"/>
    </w:pPr>
    <w:rPr>
      <w:rFonts w:eastAsia="SimSun"/>
      <w:sz w:val="20"/>
      <w:lang w:eastAsia="zh-CN"/>
    </w:rPr>
    <w:tblPr>
      <w:tblStyleRowBandSize w:val="1"/>
      <w:tblStyleColBandSize w:val="1"/>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rPr>
        <w:tblHeader/>
      </w:tr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ListBullet">
    <w:name w:val="List Bullet"/>
    <w:basedOn w:val="Normal"/>
    <w:uiPriority w:val="99"/>
    <w:semiHidden/>
    <w:unhideWhenUsed/>
    <w:rsid w:val="00805A92"/>
    <w:pPr>
      <w:tabs>
        <w:tab w:val="num" w:pos="357"/>
      </w:tabs>
      <w:ind w:left="357" w:hanging="357"/>
      <w:contextualSpacing/>
    </w:pPr>
  </w:style>
  <w:style w:type="paragraph" w:styleId="ListBullet2">
    <w:name w:val="List Bullet 2"/>
    <w:basedOn w:val="Normal"/>
    <w:uiPriority w:val="99"/>
    <w:semiHidden/>
    <w:unhideWhenUsed/>
    <w:rsid w:val="00805A92"/>
    <w:pPr>
      <w:tabs>
        <w:tab w:val="num" w:pos="714"/>
      </w:tabs>
      <w:ind w:left="714" w:hanging="357"/>
      <w:contextualSpacing/>
    </w:pPr>
  </w:style>
  <w:style w:type="table" w:styleId="ListTable3-Accent3">
    <w:name w:val="List Table 3 Accent 3"/>
    <w:basedOn w:val="TableNormal"/>
    <w:uiPriority w:val="48"/>
    <w:rsid w:val="00805A92"/>
    <w:pPr>
      <w:spacing w:after="0" w:line="240" w:lineRule="auto"/>
    </w:pPr>
    <w:tblPr>
      <w:tblStyleRowBandSize w:val="1"/>
      <w:tblStyleColBandSize w:val="1"/>
      <w:tblBorders>
        <w:top w:val="single" w:sz="4" w:space="0" w:color="0B3F47" w:themeColor="accent3"/>
        <w:left w:val="single" w:sz="4" w:space="0" w:color="0B3F47" w:themeColor="accent3"/>
        <w:bottom w:val="single" w:sz="4" w:space="0" w:color="0B3F47" w:themeColor="accent3"/>
        <w:right w:val="single" w:sz="4" w:space="0" w:color="0B3F47" w:themeColor="accent3"/>
      </w:tblBorders>
    </w:tblPr>
    <w:tblStylePr w:type="firstRow">
      <w:rPr>
        <w:b/>
        <w:bCs/>
        <w:color w:val="FFFFFF" w:themeColor="background1"/>
      </w:rPr>
      <w:tblPr/>
      <w:tcPr>
        <w:shd w:val="clear" w:color="auto" w:fill="0B3F47" w:themeFill="accent3"/>
      </w:tcPr>
    </w:tblStylePr>
    <w:tblStylePr w:type="lastRow">
      <w:rPr>
        <w:b/>
        <w:bCs/>
      </w:rPr>
      <w:tblPr/>
      <w:tcPr>
        <w:tcBorders>
          <w:top w:val="double" w:sz="4" w:space="0" w:color="0B3F47"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3F47" w:themeColor="accent3"/>
          <w:right w:val="single" w:sz="4" w:space="0" w:color="0B3F47" w:themeColor="accent3"/>
        </w:tcBorders>
      </w:tcPr>
    </w:tblStylePr>
    <w:tblStylePr w:type="band1Horz">
      <w:tblPr/>
      <w:tcPr>
        <w:tcBorders>
          <w:top w:val="single" w:sz="4" w:space="0" w:color="0B3F47" w:themeColor="accent3"/>
          <w:bottom w:val="single" w:sz="4" w:space="0" w:color="0B3F47"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3F47" w:themeColor="accent3"/>
          <w:left w:val="nil"/>
        </w:tcBorders>
      </w:tcPr>
    </w:tblStylePr>
    <w:tblStylePr w:type="swCell">
      <w:tblPr/>
      <w:tcPr>
        <w:tcBorders>
          <w:top w:val="double" w:sz="4" w:space="0" w:color="0B3F47" w:themeColor="accent3"/>
          <w:right w:val="nil"/>
        </w:tcBorders>
      </w:tcPr>
    </w:tblStylePr>
  </w:style>
  <w:style w:type="table" w:styleId="TableGrid">
    <w:name w:val="Table Grid"/>
    <w:basedOn w:val="TableNormal"/>
    <w:uiPriority w:val="39"/>
    <w:rsid w:val="002367A1"/>
    <w:pPr>
      <w:spacing w:after="0" w:line="240" w:lineRule="auto"/>
    </w:pPr>
    <w:rPr>
      <w:rFonts w:eastAsia="SimSu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2">
    <w:name w:val="List Table 3 - Accent 32"/>
    <w:basedOn w:val="TableNormal"/>
    <w:next w:val="ListTable3-Accent3"/>
    <w:uiPriority w:val="48"/>
    <w:rsid w:val="002367A1"/>
    <w:pPr>
      <w:spacing w:after="0" w:line="240" w:lineRule="auto"/>
    </w:pPr>
    <w:rPr>
      <w:rFonts w:eastAsia="SimSun"/>
      <w:sz w:val="20"/>
      <w:lang w:eastAsia="zh-CN"/>
    </w:rPr>
    <w:tblPr>
      <w:tblStyleRowBandSize w:val="1"/>
      <w:tblStyleColBandSize w:val="1"/>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rPr>
        <w:tblHeader/>
      </w:tr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Header">
    <w:name w:val="header"/>
    <w:basedOn w:val="Normal"/>
    <w:link w:val="HeaderChar"/>
    <w:uiPriority w:val="99"/>
    <w:unhideWhenUsed/>
    <w:rsid w:val="002203D0"/>
    <w:pPr>
      <w:tabs>
        <w:tab w:val="center" w:pos="4513"/>
        <w:tab w:val="right" w:pos="9026"/>
      </w:tabs>
      <w:spacing w:line="240" w:lineRule="auto"/>
    </w:pPr>
  </w:style>
  <w:style w:type="character" w:customStyle="1" w:styleId="HeaderChar">
    <w:name w:val="Header Char"/>
    <w:basedOn w:val="DefaultParagraphFont"/>
    <w:link w:val="Header"/>
    <w:uiPriority w:val="99"/>
    <w:rsid w:val="002203D0"/>
  </w:style>
  <w:style w:type="paragraph" w:styleId="Footer">
    <w:name w:val="footer"/>
    <w:basedOn w:val="Normal"/>
    <w:link w:val="FooterChar"/>
    <w:uiPriority w:val="99"/>
    <w:unhideWhenUsed/>
    <w:rsid w:val="002203D0"/>
    <w:pPr>
      <w:tabs>
        <w:tab w:val="center" w:pos="4513"/>
        <w:tab w:val="right" w:pos="9026"/>
      </w:tabs>
      <w:spacing w:line="240" w:lineRule="auto"/>
    </w:pPr>
  </w:style>
  <w:style w:type="character" w:customStyle="1" w:styleId="FooterChar">
    <w:name w:val="Footer Char"/>
    <w:basedOn w:val="DefaultParagraphFont"/>
    <w:link w:val="Footer"/>
    <w:uiPriority w:val="99"/>
    <w:rsid w:val="002203D0"/>
  </w:style>
  <w:style w:type="table" w:customStyle="1" w:styleId="TableGrid1">
    <w:name w:val="Table Grid1"/>
    <w:basedOn w:val="TableNormal"/>
    <w:next w:val="TableGrid"/>
    <w:uiPriority w:val="59"/>
    <w:rsid w:val="00AF2EE4"/>
    <w:pPr>
      <w:spacing w:after="0" w:line="240" w:lineRule="auto"/>
    </w:pPr>
    <w:rPr>
      <w:rFonts w:ascii="Arial" w:eastAsia="Arial" w:hAnsi="Arial" w:cs="Times New Roman"/>
      <w:sz w:val="20"/>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Pr>
  </w:style>
  <w:style w:type="paragraph" w:customStyle="1" w:styleId="AllensHeading2">
    <w:name w:val="Allens Heading 2"/>
    <w:basedOn w:val="Normal"/>
    <w:next w:val="NormalIndent"/>
    <w:qFormat/>
    <w:rsid w:val="00E4592B"/>
    <w:pPr>
      <w:keepNext/>
      <w:numPr>
        <w:ilvl w:val="1"/>
        <w:numId w:val="5"/>
      </w:numPr>
      <w:spacing w:before="160"/>
      <w:outlineLvl w:val="1"/>
    </w:pPr>
    <w:rPr>
      <w:rFonts w:eastAsia="Times New Roman" w:cs="Times New Roman"/>
      <w:b/>
      <w:sz w:val="21"/>
      <w:szCs w:val="20"/>
      <w:lang w:eastAsia="en-AU"/>
    </w:rPr>
  </w:style>
  <w:style w:type="paragraph" w:customStyle="1" w:styleId="AllensHeading1">
    <w:name w:val="Allens Heading 1"/>
    <w:basedOn w:val="Normal"/>
    <w:next w:val="AllensHeading2"/>
    <w:qFormat/>
    <w:rsid w:val="00EC65EE"/>
    <w:pPr>
      <w:keepNext/>
      <w:numPr>
        <w:numId w:val="5"/>
      </w:numPr>
      <w:spacing w:before="200"/>
      <w:outlineLvl w:val="0"/>
    </w:pPr>
    <w:rPr>
      <w:rFonts w:eastAsia="Times New Roman" w:cs="Times New Roman"/>
      <w:b/>
      <w:sz w:val="21"/>
      <w:szCs w:val="20"/>
      <w:lang w:eastAsia="en-AU"/>
    </w:rPr>
  </w:style>
  <w:style w:type="paragraph" w:customStyle="1" w:styleId="AllensHeading3">
    <w:name w:val="Allens Heading 3"/>
    <w:basedOn w:val="Normal"/>
    <w:qFormat/>
    <w:rsid w:val="00E4592B"/>
    <w:pPr>
      <w:numPr>
        <w:ilvl w:val="2"/>
        <w:numId w:val="5"/>
      </w:numPr>
    </w:pPr>
    <w:rPr>
      <w:rFonts w:eastAsia="Times New Roman" w:cs="Times New Roman"/>
      <w:szCs w:val="20"/>
      <w:lang w:eastAsia="en-AU"/>
    </w:rPr>
  </w:style>
  <w:style w:type="paragraph" w:customStyle="1" w:styleId="AllensHeading4">
    <w:name w:val="Allens Heading 4"/>
    <w:basedOn w:val="Normal"/>
    <w:qFormat/>
    <w:rsid w:val="00E4592B"/>
    <w:pPr>
      <w:numPr>
        <w:ilvl w:val="3"/>
        <w:numId w:val="5"/>
      </w:numPr>
    </w:pPr>
    <w:rPr>
      <w:rFonts w:eastAsia="Times New Roman" w:cs="Times New Roman"/>
      <w:szCs w:val="20"/>
      <w:lang w:eastAsia="en-AU"/>
    </w:rPr>
  </w:style>
  <w:style w:type="paragraph" w:customStyle="1" w:styleId="AllensHeading5">
    <w:name w:val="Allens Heading 5"/>
    <w:basedOn w:val="Normal"/>
    <w:qFormat/>
    <w:rsid w:val="00E4592B"/>
    <w:pPr>
      <w:numPr>
        <w:ilvl w:val="4"/>
        <w:numId w:val="5"/>
      </w:numPr>
    </w:pPr>
    <w:rPr>
      <w:rFonts w:eastAsia="Times New Roman" w:cs="Times New Roman"/>
      <w:szCs w:val="20"/>
      <w:lang w:eastAsia="en-AU"/>
    </w:rPr>
  </w:style>
  <w:style w:type="paragraph" w:customStyle="1" w:styleId="AllensHeading6">
    <w:name w:val="Allens Heading 6"/>
    <w:basedOn w:val="Normal"/>
    <w:qFormat/>
    <w:rsid w:val="00E4592B"/>
    <w:pPr>
      <w:numPr>
        <w:ilvl w:val="5"/>
        <w:numId w:val="5"/>
      </w:numPr>
    </w:pPr>
    <w:rPr>
      <w:rFonts w:eastAsia="Times New Roman" w:cs="Times New Roman"/>
      <w:szCs w:val="20"/>
      <w:lang w:eastAsia="en-AU"/>
    </w:rPr>
  </w:style>
  <w:style w:type="table" w:customStyle="1" w:styleId="TableGrid2">
    <w:name w:val="Table Grid2"/>
    <w:basedOn w:val="TableNormal"/>
    <w:next w:val="TableGrid"/>
    <w:uiPriority w:val="39"/>
    <w:rsid w:val="00E4592B"/>
    <w:pPr>
      <w:spacing w:after="0" w:line="240" w:lineRule="auto"/>
    </w:pPr>
    <w:rPr>
      <w:rFonts w:ascii="Public Sans Light" w:eastAsia="SimSun" w:hAnsi="Public Sans Light" w:cs="Times New Roman"/>
      <w:lang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3-Accent33">
    <w:name w:val="List Table 3 - Accent 33"/>
    <w:basedOn w:val="TableNormal"/>
    <w:next w:val="ListTable3-Accent3"/>
    <w:uiPriority w:val="48"/>
    <w:rsid w:val="00E4592B"/>
    <w:pPr>
      <w:spacing w:after="0" w:line="240" w:lineRule="auto"/>
    </w:pPr>
    <w:rPr>
      <w:rFonts w:ascii="Public Sans Light" w:eastAsia="SimSun" w:hAnsi="Public Sans Light" w:cs="Times New Roman"/>
      <w:sz w:val="20"/>
      <w:lang w:eastAsia="zh-CN"/>
    </w:rPr>
    <w:tblPr>
      <w:tblStyleRowBandSize w:val="1"/>
      <w:tblStyleColBandSize w:val="1"/>
      <w:tblInd w:w="0" w:type="nil"/>
      <w:tblBorders>
        <w:top w:val="single" w:sz="4" w:space="0" w:color="3300DF"/>
        <w:left w:val="single" w:sz="4" w:space="0" w:color="3300DF"/>
        <w:bottom w:val="single" w:sz="4" w:space="0" w:color="3300DF"/>
        <w:right w:val="single" w:sz="4" w:space="0" w:color="3300DF"/>
        <w:insideH w:val="single" w:sz="4" w:space="0" w:color="3300DF"/>
        <w:insideV w:val="single" w:sz="4" w:space="0" w:color="3300DF"/>
      </w:tblBorders>
    </w:tblPr>
    <w:tcPr>
      <w:shd w:val="clear" w:color="auto" w:fill="FFFFFF"/>
    </w:tcPr>
    <w:tblStylePr w:type="firstRow">
      <w:rPr>
        <w:b/>
        <w:bCs/>
        <w:color w:val="FFFFFF"/>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CEBFFF"/>
      </w:tcPr>
    </w:tblStylePr>
    <w:tblStylePr w:type="lastRow">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fir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lastCol">
      <w:rPr>
        <w:b w:val="0"/>
        <w:bCs/>
      </w:rPr>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shd w:val="clear" w:color="auto" w:fill="FFFFFF"/>
      </w:tcPr>
    </w:tblStylePr>
    <w:tblStylePr w:type="band1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Vert">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1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band2Horz">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n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e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tblStylePr w:type="swCell">
      <w:tblPr/>
      <w:tcPr>
        <w:tcBorders>
          <w:top w:val="single" w:sz="4" w:space="0" w:color="3300DF"/>
          <w:left w:val="single" w:sz="4" w:space="0" w:color="3300DF"/>
          <w:bottom w:val="single" w:sz="4" w:space="0" w:color="3300DF"/>
          <w:right w:val="single" w:sz="4" w:space="0" w:color="3300DF"/>
          <w:insideH w:val="single" w:sz="4" w:space="0" w:color="3300DF"/>
          <w:insideV w:val="single" w:sz="4" w:space="0" w:color="3300DF"/>
        </w:tcBorders>
      </w:tcPr>
    </w:tblStylePr>
  </w:style>
  <w:style w:type="paragraph" w:styleId="NormalIndent">
    <w:name w:val="Normal Indent"/>
    <w:basedOn w:val="Normal"/>
    <w:uiPriority w:val="99"/>
    <w:semiHidden/>
    <w:unhideWhenUsed/>
    <w:rsid w:val="00E4592B"/>
    <w:pPr>
      <w:ind w:left="720"/>
    </w:pPr>
  </w:style>
  <w:style w:type="paragraph" w:styleId="ListParagraph">
    <w:name w:val="List Paragraph"/>
    <w:basedOn w:val="Normal"/>
    <w:uiPriority w:val="34"/>
    <w:qFormat/>
    <w:rsid w:val="00E4592B"/>
    <w:pPr>
      <w:ind w:left="720"/>
      <w:contextualSpacing/>
    </w:pPr>
  </w:style>
  <w:style w:type="character" w:styleId="Hyperlink">
    <w:name w:val="Hyperlink"/>
    <w:basedOn w:val="DefaultParagraphFont"/>
    <w:uiPriority w:val="99"/>
    <w:unhideWhenUsed/>
    <w:rsid w:val="0071314E"/>
    <w:rPr>
      <w:color w:val="000000" w:themeColor="hyperlink"/>
      <w:u w:val="single"/>
    </w:rPr>
  </w:style>
  <w:style w:type="character" w:styleId="UnresolvedMention">
    <w:name w:val="Unresolved Mention"/>
    <w:basedOn w:val="DefaultParagraphFont"/>
    <w:uiPriority w:val="99"/>
    <w:semiHidden/>
    <w:unhideWhenUsed/>
    <w:rsid w:val="0071314E"/>
    <w:rPr>
      <w:color w:val="605E5C"/>
      <w:shd w:val="clear" w:color="auto" w:fill="E1DFDD"/>
    </w:rPr>
  </w:style>
  <w:style w:type="paragraph" w:styleId="NoSpacing">
    <w:name w:val="No Spacing"/>
    <w:uiPriority w:val="1"/>
    <w:qFormat/>
    <w:rsid w:val="00784FDA"/>
    <w:pPr>
      <w:spacing w:after="0" w:line="240" w:lineRule="auto"/>
    </w:pPr>
    <w:rPr>
      <w:rFonts w:ascii="Arial" w:hAnsi="Arial"/>
      <w:sz w:val="20"/>
    </w:rPr>
  </w:style>
  <w:style w:type="character" w:customStyle="1" w:styleId="Heading1Char">
    <w:name w:val="Heading 1 Char"/>
    <w:basedOn w:val="DefaultParagraphFont"/>
    <w:link w:val="Heading1"/>
    <w:uiPriority w:val="9"/>
    <w:rsid w:val="001A3E5D"/>
    <w:rPr>
      <w:rFonts w:ascii="Arial" w:hAnsi="Arial" w:cs="Arial"/>
      <w:color w:val="22272B" w:themeColor="text1"/>
      <w:sz w:val="44"/>
      <w:szCs w:val="44"/>
    </w:rPr>
  </w:style>
  <w:style w:type="character" w:customStyle="1" w:styleId="Heading2Char">
    <w:name w:val="Heading 2 Char"/>
    <w:basedOn w:val="DefaultParagraphFont"/>
    <w:link w:val="Heading2"/>
    <w:uiPriority w:val="9"/>
    <w:rsid w:val="001A3E5D"/>
    <w:rPr>
      <w:rFonts w:ascii="Arial" w:eastAsia="Calibri" w:hAnsi="Arial" w:cs="Arial"/>
      <w:b/>
      <w:bCs/>
      <w:sz w:val="24"/>
      <w:szCs w:val="24"/>
      <w:lang w:eastAsia="zh-CN"/>
    </w:rPr>
  </w:style>
  <w:style w:type="character" w:customStyle="1" w:styleId="Heading3Char">
    <w:name w:val="Heading 3 Char"/>
    <w:basedOn w:val="DefaultParagraphFont"/>
    <w:link w:val="Heading3"/>
    <w:uiPriority w:val="9"/>
    <w:rsid w:val="001A3E5D"/>
    <w:rPr>
      <w:rFonts w:ascii="Arial" w:eastAsia="Calibri" w:hAnsi="Arial" w:cs="Times New Roman"/>
      <w:b/>
      <w:sz w:val="21"/>
      <w:szCs w:val="20"/>
      <w:lang w:eastAsia="en-AU"/>
    </w:rPr>
  </w:style>
  <w:style w:type="character" w:customStyle="1" w:styleId="Heading4Char">
    <w:name w:val="Heading 4 Char"/>
    <w:basedOn w:val="DefaultParagraphFont"/>
    <w:link w:val="Heading4"/>
    <w:uiPriority w:val="9"/>
    <w:rsid w:val="001A3E5D"/>
    <w:rPr>
      <w:rFonts w:ascii="Arial" w:eastAsia="Calibri" w:hAnsi="Arial" w:cs="Times New Roman"/>
      <w:b/>
      <w:sz w:val="21"/>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4540131">
      <w:bodyDiv w:val="1"/>
      <w:marLeft w:val="0"/>
      <w:marRight w:val="0"/>
      <w:marTop w:val="0"/>
      <w:marBottom w:val="0"/>
      <w:divBdr>
        <w:top w:val="none" w:sz="0" w:space="0" w:color="auto"/>
        <w:left w:val="none" w:sz="0" w:space="0" w:color="auto"/>
        <w:bottom w:val="none" w:sz="0" w:space="0" w:color="auto"/>
        <w:right w:val="none" w:sz="0" w:space="0" w:color="auto"/>
      </w:divBdr>
    </w:div>
    <w:div w:id="1430813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egislation.nsw.gov.au/view/html/inforce/current/act-1983-164"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s://legislation.nsw.gov.au/view/html/inforce/current/act-1900-04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ASC Colours">
      <a:dk1>
        <a:srgbClr val="22272B"/>
      </a:dk1>
      <a:lt1>
        <a:srgbClr val="FFFFFF"/>
      </a:lt1>
      <a:dk2>
        <a:srgbClr val="441170"/>
      </a:dk2>
      <a:lt2>
        <a:srgbClr val="8055F1"/>
      </a:lt2>
      <a:accent1>
        <a:srgbClr val="CEBFFF"/>
      </a:accent1>
      <a:accent2>
        <a:srgbClr val="E6E1FD"/>
      </a:accent2>
      <a:accent3>
        <a:srgbClr val="0B3F47"/>
      </a:accent3>
      <a:accent4>
        <a:srgbClr val="2E808E"/>
      </a:accent4>
      <a:accent5>
        <a:srgbClr val="8CDBE5"/>
      </a:accent5>
      <a:accent6>
        <a:srgbClr val="D1EEEA"/>
      </a:accent6>
      <a:hlink>
        <a:srgbClr val="000000"/>
      </a:hlink>
      <a:folHlink>
        <a:srgbClr val="495054"/>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2dc3704-f621-485c-b848-89fc217c83ee"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F8B67F63ED97746AA96D0B250306B66" ma:contentTypeVersion="18" ma:contentTypeDescription="Create a new document." ma:contentTypeScope="" ma:versionID="75c419304ab00333f0ab6b4a398b84cd">
  <xsd:schema xmlns:xsd="http://www.w3.org/2001/XMLSchema" xmlns:xs="http://www.w3.org/2001/XMLSchema" xmlns:p="http://schemas.microsoft.com/office/2006/metadata/properties" xmlns:ns1="http://schemas.microsoft.com/sharepoint/v3" xmlns:ns3="62dc3704-f621-485c-b848-89fc217c83ee" xmlns:ns4="f906d6cf-ef72-4f29-b7d0-e8d55eda30d8" targetNamespace="http://schemas.microsoft.com/office/2006/metadata/properties" ma:root="true" ma:fieldsID="72a455b5a7f41afa5d747916a7bd57f9" ns1:_="" ns3:_="" ns4:_="">
    <xsd:import namespace="http://schemas.microsoft.com/sharepoint/v3"/>
    <xsd:import namespace="62dc3704-f621-485c-b848-89fc217c83ee"/>
    <xsd:import namespace="f906d6cf-ef72-4f29-b7d0-e8d55eda30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Location" minOccurs="0"/>
                <xsd:element ref="ns1:_ip_UnifiedCompliancePolicyProperties" minOccurs="0"/>
                <xsd:element ref="ns1:_ip_UnifiedCompliancePolicyUIAc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2" nillable="true" ma:displayName="Unified Compliance Policy Properties" ma:hidden="true" ma:internalName="_ip_UnifiedCompliancePolicyProperties">
      <xsd:simpleType>
        <xsd:restriction base="dms:Note"/>
      </xsd:simpleType>
    </xsd:element>
    <xsd:element name="_ip_UnifiedCompliancePolicyUIAction" ma:index="2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dc3704-f621-485c-b848-89fc217c8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06d6cf-ef72-4f29-b7d0-e8d55eda30d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695A089-E161-42E6-ABCD-FAB7EE0C4662}">
  <ds:schemaRefs>
    <ds:schemaRef ds:uri="http://schemas.microsoft.com/office/2006/metadata/properties"/>
    <ds:schemaRef ds:uri="http://schemas.microsoft.com/office/infopath/2007/PartnerControls"/>
    <ds:schemaRef ds:uri="62dc3704-f621-485c-b848-89fc217c83ee"/>
    <ds:schemaRef ds:uri="http://schemas.microsoft.com/sharepoint/v3"/>
  </ds:schemaRefs>
</ds:datastoreItem>
</file>

<file path=customXml/itemProps2.xml><?xml version="1.0" encoding="utf-8"?>
<ds:datastoreItem xmlns:ds="http://schemas.openxmlformats.org/officeDocument/2006/customXml" ds:itemID="{C4998F58-6B9D-46AA-887F-EF38FB5A0F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2dc3704-f621-485c-b848-89fc217c83ee"/>
    <ds:schemaRef ds:uri="f906d6cf-ef72-4f29-b7d0-e8d55eda30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C4C40A-1636-44FB-9769-FB24D4F2DAC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1839</Words>
  <Characters>10485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GRS Model Tender Clauses – Heightened version</vt:lpstr>
    </vt:vector>
  </TitlesOfParts>
  <Company/>
  <LinksUpToDate>false</LinksUpToDate>
  <CharactersWithSpaces>12300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GRS Model Tender Clause – Heightened</dc:title>
  <dc:subject/>
  <dc:creator>Victoria Gordon</dc:creator>
  <cp:keywords/>
  <dc:description/>
  <cp:lastModifiedBy>Lucy Forbes</cp:lastModifiedBy>
  <cp:revision>6</cp:revision>
  <dcterms:created xsi:type="dcterms:W3CDTF">2023-12-15T03:28:00Z</dcterms:created>
  <dcterms:modified xsi:type="dcterms:W3CDTF">2023-12-15T03:39:00Z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3,5,6</vt:lpwstr>
  </property>
  <property fmtid="{D5CDD505-2E9C-101B-9397-08002B2CF9AE}" pid="3" name="ClassificationContentMarkingHeaderFontProps">
    <vt:lpwstr>#ff0000,11,Calibri</vt:lpwstr>
  </property>
  <property fmtid="{D5CDD505-2E9C-101B-9397-08002B2CF9AE}" pid="4" name="ClassificationContentMarkingHeaderText">
    <vt:lpwstr>OFFICIAL</vt:lpwstr>
  </property>
  <property fmtid="{D5CDD505-2E9C-101B-9397-08002B2CF9AE}" pid="5" name="ClassificationContentMarkingFooterShapeIds">
    <vt:lpwstr>7,8,9</vt:lpwstr>
  </property>
  <property fmtid="{D5CDD505-2E9C-101B-9397-08002B2CF9AE}" pid="6" name="ClassificationContentMarkingFooterFontProps">
    <vt:lpwstr>#ff0000,11,Calibri</vt:lpwstr>
  </property>
  <property fmtid="{D5CDD505-2E9C-101B-9397-08002B2CF9AE}" pid="7" name="ClassificationContentMarkingFooterText">
    <vt:lpwstr>OFFICIAL</vt:lpwstr>
  </property>
  <property fmtid="{D5CDD505-2E9C-101B-9397-08002B2CF9AE}" pid="8" name="MSIP_Label_5d76923c-bfc7-439d-b017-7824b986ddd5_Enabled">
    <vt:lpwstr>true</vt:lpwstr>
  </property>
  <property fmtid="{D5CDD505-2E9C-101B-9397-08002B2CF9AE}" pid="9" name="MSIP_Label_5d76923c-bfc7-439d-b017-7824b986ddd5_SetDate">
    <vt:lpwstr>2023-12-11T06:43:41Z</vt:lpwstr>
  </property>
  <property fmtid="{D5CDD505-2E9C-101B-9397-08002B2CF9AE}" pid="10" name="MSIP_Label_5d76923c-bfc7-439d-b017-7824b986ddd5_Method">
    <vt:lpwstr>Privileged</vt:lpwstr>
  </property>
  <property fmtid="{D5CDD505-2E9C-101B-9397-08002B2CF9AE}" pid="11" name="MSIP_Label_5d76923c-bfc7-439d-b017-7824b986ddd5_Name">
    <vt:lpwstr>OFFICIAL</vt:lpwstr>
  </property>
  <property fmtid="{D5CDD505-2E9C-101B-9397-08002B2CF9AE}" pid="12" name="MSIP_Label_5d76923c-bfc7-439d-b017-7824b986ddd5_SiteId">
    <vt:lpwstr>7a0c818f-8d7f-448b-aaa3-fa08614f94ff</vt:lpwstr>
  </property>
  <property fmtid="{D5CDD505-2E9C-101B-9397-08002B2CF9AE}" pid="13" name="MSIP_Label_5d76923c-bfc7-439d-b017-7824b986ddd5_ActionId">
    <vt:lpwstr>16d085f0-ae03-456c-9b8a-9e7f89dcb384</vt:lpwstr>
  </property>
  <property fmtid="{D5CDD505-2E9C-101B-9397-08002B2CF9AE}" pid="14" name="MSIP_Label_5d76923c-bfc7-439d-b017-7824b986ddd5_ContentBits">
    <vt:lpwstr>3</vt:lpwstr>
  </property>
  <property fmtid="{D5CDD505-2E9C-101B-9397-08002B2CF9AE}" pid="15" name="ContentTypeId">
    <vt:lpwstr>0x010100AF8B67F63ED97746AA96D0B250306B66</vt:lpwstr>
  </property>
</Properties>
</file>