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D8A" w:rsidRPr="00236615" w:rsidRDefault="00CA2D8A" w:rsidP="00CA2D8A">
      <w:pPr>
        <w:spacing w:after="0"/>
        <w:rPr>
          <w:b/>
          <w:szCs w:val="20"/>
        </w:rPr>
      </w:pPr>
    </w:p>
    <w:p w:rsidR="00CA2D8A" w:rsidRPr="00236615" w:rsidRDefault="00CA2D8A" w:rsidP="00CA2D8A">
      <w:pPr>
        <w:tabs>
          <w:tab w:val="center" w:pos="4153"/>
          <w:tab w:val="right" w:pos="8306"/>
        </w:tabs>
        <w:spacing w:after="0"/>
        <w:jc w:val="right"/>
        <w:rPr>
          <w:sz w:val="20"/>
          <w:szCs w:val="20"/>
          <w:lang w:eastAsia="zh-CN"/>
        </w:rPr>
      </w:pPr>
      <w:r w:rsidRPr="00236615">
        <w:rPr>
          <w:b/>
          <w:noProof/>
          <w:sz w:val="20"/>
          <w:szCs w:val="20"/>
        </w:rPr>
        <w:drawing>
          <wp:inline distT="0" distB="0" distL="0" distR="0">
            <wp:extent cx="2238375" cy="1694180"/>
            <wp:effectExtent l="0" t="0" r="952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8375" cy="1694180"/>
                    </a:xfrm>
                    <a:prstGeom prst="rect">
                      <a:avLst/>
                    </a:prstGeom>
                    <a:noFill/>
                    <a:ln>
                      <a:noFill/>
                    </a:ln>
                  </pic:spPr>
                </pic:pic>
              </a:graphicData>
            </a:graphic>
          </wp:inline>
        </w:drawing>
      </w:r>
    </w:p>
    <w:p w:rsidR="00CA2D8A" w:rsidRPr="00236615" w:rsidRDefault="00CA2D8A" w:rsidP="00CA2D8A">
      <w:pPr>
        <w:spacing w:after="0"/>
        <w:rPr>
          <w:b/>
          <w:szCs w:val="20"/>
        </w:rPr>
      </w:pPr>
    </w:p>
    <w:p w:rsidR="002935BF" w:rsidRPr="00236615" w:rsidRDefault="002935BF" w:rsidP="00CA2D8A">
      <w:pPr>
        <w:spacing w:after="0"/>
        <w:rPr>
          <w:b/>
          <w:szCs w:val="20"/>
        </w:rPr>
      </w:pPr>
    </w:p>
    <w:tbl>
      <w:tblPr>
        <w:tblW w:w="0" w:type="auto"/>
        <w:tblBorders>
          <w:left w:val="thickThinSmallGap" w:sz="24" w:space="0" w:color="003366"/>
        </w:tblBorders>
        <w:tblLook w:val="01E0" w:firstRow="1" w:lastRow="1" w:firstColumn="1" w:lastColumn="1" w:noHBand="0" w:noVBand="0"/>
      </w:tblPr>
      <w:tblGrid>
        <w:gridCol w:w="8897"/>
      </w:tblGrid>
      <w:tr w:rsidR="00CA2D8A" w:rsidRPr="00236615">
        <w:trPr>
          <w:trHeight w:val="846"/>
        </w:trPr>
        <w:tc>
          <w:tcPr>
            <w:tcW w:w="8897" w:type="dxa"/>
          </w:tcPr>
          <w:p w:rsidR="00CA2D8A" w:rsidRPr="00236615" w:rsidRDefault="00CA2D8A" w:rsidP="00E54F7A">
            <w:pPr>
              <w:spacing w:after="0"/>
              <w:rPr>
                <w:b/>
                <w:color w:val="003366"/>
                <w:sz w:val="36"/>
                <w:szCs w:val="36"/>
              </w:rPr>
            </w:pPr>
            <w:r w:rsidRPr="00236615">
              <w:rPr>
                <w:b/>
                <w:color w:val="003366"/>
                <w:sz w:val="36"/>
                <w:szCs w:val="36"/>
              </w:rPr>
              <w:t>Disability Council NSW</w:t>
            </w:r>
          </w:p>
        </w:tc>
      </w:tr>
      <w:tr w:rsidR="00CA2D8A" w:rsidRPr="00236615">
        <w:trPr>
          <w:trHeight w:val="2509"/>
        </w:trPr>
        <w:tc>
          <w:tcPr>
            <w:tcW w:w="8897" w:type="dxa"/>
            <w:vAlign w:val="center"/>
          </w:tcPr>
          <w:p w:rsidR="001E5BCD" w:rsidRPr="00922E62" w:rsidRDefault="001C3532" w:rsidP="001E5BCD">
            <w:pPr>
              <w:rPr>
                <w:rFonts w:cs="Arial"/>
                <w:sz w:val="40"/>
                <w:szCs w:val="40"/>
              </w:rPr>
            </w:pPr>
            <w:r>
              <w:rPr>
                <w:rFonts w:cs="Arial"/>
                <w:sz w:val="40"/>
                <w:szCs w:val="40"/>
              </w:rPr>
              <w:t xml:space="preserve">Preliminary </w:t>
            </w:r>
            <w:r w:rsidR="001E5BCD" w:rsidRPr="00922E62">
              <w:rPr>
                <w:rFonts w:cs="Arial"/>
                <w:sz w:val="40"/>
                <w:szCs w:val="40"/>
              </w:rPr>
              <w:t xml:space="preserve">Submission to </w:t>
            </w:r>
          </w:p>
          <w:p w:rsidR="00CA2D8A" w:rsidRPr="00236615" w:rsidRDefault="00076741" w:rsidP="001C3532">
            <w:pPr>
              <w:spacing w:after="0"/>
              <w:rPr>
                <w:b/>
                <w:color w:val="FF9900"/>
                <w:sz w:val="48"/>
                <w:szCs w:val="48"/>
              </w:rPr>
            </w:pPr>
            <w:r w:rsidRPr="00076741">
              <w:rPr>
                <w:rFonts w:cs="Arial"/>
                <w:sz w:val="40"/>
                <w:szCs w:val="40"/>
              </w:rPr>
              <w:t xml:space="preserve">Review of the </w:t>
            </w:r>
            <w:r w:rsidRPr="00076741">
              <w:rPr>
                <w:rFonts w:cs="Arial"/>
                <w:i/>
                <w:sz w:val="40"/>
                <w:szCs w:val="40"/>
              </w:rPr>
              <w:t>Guardianship Act</w:t>
            </w:r>
            <w:r w:rsidRPr="00076741">
              <w:rPr>
                <w:rFonts w:cs="Arial"/>
                <w:sz w:val="40"/>
                <w:szCs w:val="40"/>
              </w:rPr>
              <w:t xml:space="preserve"> 1987</w:t>
            </w:r>
            <w:r w:rsidR="001C3532">
              <w:rPr>
                <w:rFonts w:cs="Arial"/>
                <w:sz w:val="40"/>
                <w:szCs w:val="40"/>
              </w:rPr>
              <w:t xml:space="preserve"> </w:t>
            </w:r>
          </w:p>
        </w:tc>
      </w:tr>
      <w:tr w:rsidR="00CA2D8A" w:rsidRPr="00236615">
        <w:trPr>
          <w:trHeight w:val="1086"/>
        </w:trPr>
        <w:tc>
          <w:tcPr>
            <w:tcW w:w="8897" w:type="dxa"/>
            <w:vAlign w:val="bottom"/>
          </w:tcPr>
          <w:p w:rsidR="00CA2D8A" w:rsidRPr="00236615" w:rsidRDefault="00CA2D8A" w:rsidP="00E54F7A">
            <w:pPr>
              <w:spacing w:after="0"/>
              <w:rPr>
                <w:b/>
                <w:color w:val="003366"/>
                <w:sz w:val="32"/>
                <w:szCs w:val="32"/>
              </w:rPr>
            </w:pPr>
          </w:p>
          <w:p w:rsidR="00CA2D8A" w:rsidRPr="00236615" w:rsidRDefault="00076741" w:rsidP="00E54F7A">
            <w:pPr>
              <w:spacing w:after="0"/>
              <w:rPr>
                <w:b/>
                <w:color w:val="003366"/>
                <w:sz w:val="28"/>
                <w:szCs w:val="28"/>
              </w:rPr>
            </w:pPr>
            <w:r>
              <w:rPr>
                <w:b/>
                <w:color w:val="003366"/>
                <w:sz w:val="28"/>
                <w:szCs w:val="28"/>
              </w:rPr>
              <w:t>21</w:t>
            </w:r>
            <w:r w:rsidR="00F846CD">
              <w:rPr>
                <w:b/>
                <w:color w:val="003366"/>
                <w:sz w:val="28"/>
                <w:szCs w:val="28"/>
              </w:rPr>
              <w:t xml:space="preserve"> March 2016</w:t>
            </w:r>
          </w:p>
        </w:tc>
      </w:tr>
    </w:tbl>
    <w:p w:rsidR="00CA2D8A" w:rsidRDefault="00CA2D8A" w:rsidP="00CA2D8A">
      <w:pPr>
        <w:spacing w:after="0"/>
        <w:rPr>
          <w:rFonts w:ascii="Times New Roman" w:hAnsi="Times New Roman"/>
        </w:rPr>
      </w:pPr>
    </w:p>
    <w:p w:rsidR="00CA2D8A" w:rsidRDefault="00CA2D8A" w:rsidP="00CA2D8A">
      <w:pPr>
        <w:spacing w:after="0"/>
        <w:rPr>
          <w:rFonts w:ascii="Times New Roman" w:hAnsi="Times New Roman"/>
        </w:rPr>
      </w:pPr>
    </w:p>
    <w:p w:rsidR="00CA2D8A" w:rsidRDefault="00CA2D8A" w:rsidP="002935BF">
      <w:pPr>
        <w:spacing w:after="0"/>
        <w:rPr>
          <w:rFonts w:ascii="Times New Roman" w:hAnsi="Times New Roman"/>
        </w:rPr>
      </w:pPr>
    </w:p>
    <w:p w:rsidR="002935BF" w:rsidRPr="00D97393" w:rsidRDefault="002935BF" w:rsidP="002935BF">
      <w:pPr>
        <w:spacing w:after="0"/>
        <w:rPr>
          <w:rFonts w:ascii="Times New Roman" w:hAnsi="Times New Roman"/>
        </w:rPr>
      </w:pPr>
    </w:p>
    <w:p w:rsidR="00CA2D8A" w:rsidRPr="002935BF" w:rsidRDefault="00CA2D8A" w:rsidP="002935BF">
      <w:pPr>
        <w:pStyle w:val="NoSpacing"/>
        <w:jc w:val="center"/>
        <w:rPr>
          <w:b w:val="0"/>
        </w:rPr>
      </w:pPr>
      <w:r w:rsidRPr="002935BF">
        <w:rPr>
          <w:b w:val="0"/>
        </w:rPr>
        <w:t>Locked Bag 4028, Ashfield NSW 2131</w:t>
      </w:r>
    </w:p>
    <w:p w:rsidR="00CA2D8A" w:rsidRPr="002935BF" w:rsidRDefault="00CA2D8A" w:rsidP="002935BF">
      <w:pPr>
        <w:pStyle w:val="NoSpacing"/>
        <w:jc w:val="center"/>
        <w:rPr>
          <w:b w:val="0"/>
        </w:rPr>
      </w:pPr>
      <w:proofErr w:type="spellStart"/>
      <w:r w:rsidRPr="002935BF">
        <w:rPr>
          <w:b w:val="0"/>
        </w:rPr>
        <w:t>Ph</w:t>
      </w:r>
      <w:proofErr w:type="spellEnd"/>
      <w:r w:rsidRPr="002935BF">
        <w:rPr>
          <w:b w:val="0"/>
        </w:rPr>
        <w:t>: (02) 8879 9100</w:t>
      </w:r>
    </w:p>
    <w:p w:rsidR="00CA2D8A" w:rsidRPr="002935BF" w:rsidRDefault="0036082A" w:rsidP="002935BF">
      <w:pPr>
        <w:pStyle w:val="NoSpacing"/>
        <w:jc w:val="center"/>
        <w:rPr>
          <w:b w:val="0"/>
        </w:rPr>
      </w:pPr>
      <w:hyperlink r:id="rId10" w:history="1">
        <w:r w:rsidR="00CA2D8A" w:rsidRPr="002935BF">
          <w:rPr>
            <w:b w:val="0"/>
            <w:color w:val="0000FF"/>
            <w:u w:val="single"/>
          </w:rPr>
          <w:t>www.disabilitycouncil.nsw.gov.au</w:t>
        </w:r>
      </w:hyperlink>
    </w:p>
    <w:p w:rsidR="00CA2D8A" w:rsidRDefault="00D06A29" w:rsidP="002935BF">
      <w:pPr>
        <w:pStyle w:val="NoSpacing"/>
        <w:jc w:val="center"/>
        <w:rPr>
          <w:b w:val="0"/>
        </w:rPr>
      </w:pPr>
      <w:r>
        <w:rPr>
          <w:b w:val="0"/>
        </w:rPr>
        <w:t>E</w:t>
      </w:r>
      <w:r w:rsidR="00CA2D8A" w:rsidRPr="002935BF">
        <w:rPr>
          <w:b w:val="0"/>
        </w:rPr>
        <w:t>mail: disabilitycouncil@facs.</w:t>
      </w:r>
      <w:r w:rsidR="002935BF" w:rsidRPr="002935BF">
        <w:rPr>
          <w:b w:val="0"/>
        </w:rPr>
        <w:t>nsw.go</w:t>
      </w:r>
      <w:r w:rsidR="00874A08">
        <w:rPr>
          <w:b w:val="0"/>
        </w:rPr>
        <w:t>v.a</w:t>
      </w:r>
      <w:r w:rsidR="00B6071C">
        <w:rPr>
          <w:b w:val="0"/>
        </w:rPr>
        <w:t>u</w:t>
      </w:r>
    </w:p>
    <w:p w:rsidR="001E5BCD" w:rsidRDefault="001E5BCD" w:rsidP="002935BF">
      <w:pPr>
        <w:pStyle w:val="NoSpacing"/>
        <w:jc w:val="center"/>
        <w:rPr>
          <w:b w:val="0"/>
        </w:rPr>
      </w:pPr>
    </w:p>
    <w:p w:rsidR="001E5BCD" w:rsidRDefault="001E5BCD" w:rsidP="002935BF">
      <w:pPr>
        <w:pStyle w:val="NoSpacing"/>
        <w:jc w:val="center"/>
        <w:rPr>
          <w:b w:val="0"/>
        </w:rPr>
        <w:sectPr w:rsidR="001E5BCD">
          <w:headerReference w:type="default" r:id="rId11"/>
          <w:footerReference w:type="default" r:id="rId12"/>
          <w:pgSz w:w="11906" w:h="16838"/>
          <w:pgMar w:top="1440" w:right="1440" w:bottom="1440" w:left="1440" w:header="708" w:footer="708" w:gutter="0"/>
          <w:cols w:space="708"/>
          <w:docGrid w:linePitch="360"/>
        </w:sectPr>
      </w:pPr>
    </w:p>
    <w:p w:rsidR="002935BF" w:rsidRDefault="002935BF" w:rsidP="002935BF">
      <w:pPr>
        <w:pStyle w:val="Heading1"/>
      </w:pPr>
      <w:bookmarkStart w:id="0" w:name="_Toc436384561"/>
      <w:bookmarkStart w:id="1" w:name="_Toc436384601"/>
      <w:bookmarkStart w:id="2" w:name="_Toc436395809"/>
      <w:bookmarkStart w:id="3" w:name="_Toc436725607"/>
      <w:bookmarkStart w:id="4" w:name="_Toc436734148"/>
      <w:bookmarkStart w:id="5" w:name="_Toc443661966"/>
      <w:bookmarkStart w:id="6" w:name="_Toc443919399"/>
      <w:bookmarkStart w:id="7" w:name="_Toc444271539"/>
      <w:bookmarkStart w:id="8" w:name="_Toc444272595"/>
      <w:bookmarkStart w:id="9" w:name="_Toc444869948"/>
      <w:bookmarkStart w:id="10" w:name="_Toc446064940"/>
      <w:bookmarkStart w:id="11" w:name="_Toc446069209"/>
      <w:bookmarkStart w:id="12" w:name="_Toc446329107"/>
      <w:bookmarkStart w:id="13" w:name="_Toc432147703"/>
      <w:r>
        <w:lastRenderedPageBreak/>
        <w:t>Contents</w:t>
      </w:r>
      <w:bookmarkEnd w:id="0"/>
      <w:bookmarkEnd w:id="1"/>
      <w:bookmarkEnd w:id="2"/>
      <w:bookmarkEnd w:id="3"/>
      <w:bookmarkEnd w:id="4"/>
      <w:bookmarkEnd w:id="5"/>
      <w:bookmarkEnd w:id="6"/>
      <w:bookmarkEnd w:id="7"/>
      <w:bookmarkEnd w:id="8"/>
      <w:bookmarkEnd w:id="9"/>
      <w:bookmarkEnd w:id="10"/>
      <w:bookmarkEnd w:id="11"/>
      <w:bookmarkEnd w:id="12"/>
    </w:p>
    <w:bookmarkStart w:id="14" w:name="_Toc436384602" w:displacedByCustomXml="next"/>
    <w:sdt>
      <w:sdtPr>
        <w:rPr>
          <w:b w:val="0"/>
        </w:rPr>
        <w:id w:val="-729694527"/>
        <w:docPartObj>
          <w:docPartGallery w:val="Table of Contents"/>
          <w:docPartUnique/>
        </w:docPartObj>
      </w:sdtPr>
      <w:sdtEndPr>
        <w:rPr>
          <w:bCs/>
          <w:noProof/>
        </w:rPr>
      </w:sdtEndPr>
      <w:sdtContent>
        <w:p w:rsidR="007D0993" w:rsidRDefault="00F66628">
          <w:pPr>
            <w:pStyle w:val="TOC1"/>
            <w:rPr>
              <w:rFonts w:asciiTheme="minorHAnsi" w:eastAsiaTheme="minorEastAsia" w:hAnsiTheme="minorHAnsi" w:cstheme="minorBidi"/>
              <w:b w:val="0"/>
              <w:noProof/>
              <w:sz w:val="22"/>
              <w:szCs w:val="22"/>
            </w:rPr>
          </w:pPr>
          <w:r w:rsidRPr="00500AD9">
            <w:fldChar w:fldCharType="begin"/>
          </w:r>
          <w:r w:rsidR="00500AD9" w:rsidRPr="00500AD9">
            <w:instrText xml:space="preserve"> TOC \o "1-3" \h \z \u </w:instrText>
          </w:r>
          <w:r w:rsidRPr="00500AD9">
            <w:fldChar w:fldCharType="separate"/>
          </w:r>
          <w:hyperlink w:anchor="_Toc446329108" w:history="1">
            <w:r w:rsidR="007D0993" w:rsidRPr="00FD64DA">
              <w:rPr>
                <w:rStyle w:val="Hyperlink"/>
                <w:noProof/>
              </w:rPr>
              <w:t>Disability Council NSW</w:t>
            </w:r>
            <w:r w:rsidR="007D0993">
              <w:rPr>
                <w:noProof/>
                <w:webHidden/>
              </w:rPr>
              <w:tab/>
            </w:r>
            <w:r w:rsidR="007D0993">
              <w:rPr>
                <w:noProof/>
                <w:webHidden/>
              </w:rPr>
              <w:fldChar w:fldCharType="begin"/>
            </w:r>
            <w:r w:rsidR="007D0993">
              <w:rPr>
                <w:noProof/>
                <w:webHidden/>
              </w:rPr>
              <w:instrText xml:space="preserve"> PAGEREF _Toc446329108 \h </w:instrText>
            </w:r>
            <w:r w:rsidR="007D0993">
              <w:rPr>
                <w:noProof/>
                <w:webHidden/>
              </w:rPr>
            </w:r>
            <w:r w:rsidR="007D0993">
              <w:rPr>
                <w:noProof/>
                <w:webHidden/>
              </w:rPr>
              <w:fldChar w:fldCharType="separate"/>
            </w:r>
            <w:r w:rsidR="007D0993">
              <w:rPr>
                <w:noProof/>
                <w:webHidden/>
              </w:rPr>
              <w:t>2</w:t>
            </w:r>
            <w:r w:rsidR="007D0993">
              <w:rPr>
                <w:noProof/>
                <w:webHidden/>
              </w:rPr>
              <w:fldChar w:fldCharType="end"/>
            </w:r>
          </w:hyperlink>
        </w:p>
        <w:p w:rsidR="007D0993" w:rsidRDefault="0036082A">
          <w:pPr>
            <w:pStyle w:val="TOC1"/>
            <w:rPr>
              <w:rFonts w:asciiTheme="minorHAnsi" w:eastAsiaTheme="minorEastAsia" w:hAnsiTheme="minorHAnsi" w:cstheme="minorBidi"/>
              <w:b w:val="0"/>
              <w:noProof/>
              <w:sz w:val="22"/>
              <w:szCs w:val="22"/>
            </w:rPr>
          </w:pPr>
          <w:hyperlink w:anchor="_Toc446329109" w:history="1">
            <w:r w:rsidR="007D0993" w:rsidRPr="00FD64DA">
              <w:rPr>
                <w:rStyle w:val="Hyperlink"/>
                <w:noProof/>
              </w:rPr>
              <w:t>Executive Summary</w:t>
            </w:r>
            <w:r w:rsidR="007D0993">
              <w:rPr>
                <w:noProof/>
                <w:webHidden/>
              </w:rPr>
              <w:tab/>
            </w:r>
            <w:r w:rsidR="007D0993">
              <w:rPr>
                <w:noProof/>
                <w:webHidden/>
              </w:rPr>
              <w:fldChar w:fldCharType="begin"/>
            </w:r>
            <w:r w:rsidR="007D0993">
              <w:rPr>
                <w:noProof/>
                <w:webHidden/>
              </w:rPr>
              <w:instrText xml:space="preserve"> PAGEREF _Toc446329109 \h </w:instrText>
            </w:r>
            <w:r w:rsidR="007D0993">
              <w:rPr>
                <w:noProof/>
                <w:webHidden/>
              </w:rPr>
            </w:r>
            <w:r w:rsidR="007D0993">
              <w:rPr>
                <w:noProof/>
                <w:webHidden/>
              </w:rPr>
              <w:fldChar w:fldCharType="separate"/>
            </w:r>
            <w:r w:rsidR="007D0993">
              <w:rPr>
                <w:noProof/>
                <w:webHidden/>
              </w:rPr>
              <w:t>3</w:t>
            </w:r>
            <w:r w:rsidR="007D0993">
              <w:rPr>
                <w:noProof/>
                <w:webHidden/>
              </w:rPr>
              <w:fldChar w:fldCharType="end"/>
            </w:r>
          </w:hyperlink>
        </w:p>
        <w:p w:rsidR="007D0993" w:rsidRDefault="0036082A">
          <w:pPr>
            <w:pStyle w:val="TOC1"/>
            <w:rPr>
              <w:rFonts w:asciiTheme="minorHAnsi" w:eastAsiaTheme="minorEastAsia" w:hAnsiTheme="minorHAnsi" w:cstheme="minorBidi"/>
              <w:b w:val="0"/>
              <w:noProof/>
              <w:sz w:val="22"/>
              <w:szCs w:val="22"/>
            </w:rPr>
          </w:pPr>
          <w:hyperlink w:anchor="_Toc446329110" w:history="1">
            <w:r w:rsidR="007D0993" w:rsidRPr="00FD64DA">
              <w:rPr>
                <w:rStyle w:val="Hyperlink"/>
                <w:iCs/>
                <w:noProof/>
              </w:rPr>
              <w:t>List of Recommendations</w:t>
            </w:r>
            <w:r w:rsidR="007D0993">
              <w:rPr>
                <w:noProof/>
                <w:webHidden/>
              </w:rPr>
              <w:tab/>
            </w:r>
            <w:r w:rsidR="007D0993">
              <w:rPr>
                <w:noProof/>
                <w:webHidden/>
              </w:rPr>
              <w:fldChar w:fldCharType="begin"/>
            </w:r>
            <w:r w:rsidR="007D0993">
              <w:rPr>
                <w:noProof/>
                <w:webHidden/>
              </w:rPr>
              <w:instrText xml:space="preserve"> PAGEREF _Toc446329110 \h </w:instrText>
            </w:r>
            <w:r w:rsidR="007D0993">
              <w:rPr>
                <w:noProof/>
                <w:webHidden/>
              </w:rPr>
            </w:r>
            <w:r w:rsidR="007D0993">
              <w:rPr>
                <w:noProof/>
                <w:webHidden/>
              </w:rPr>
              <w:fldChar w:fldCharType="separate"/>
            </w:r>
            <w:r w:rsidR="007D0993">
              <w:rPr>
                <w:noProof/>
                <w:webHidden/>
              </w:rPr>
              <w:t>4</w:t>
            </w:r>
            <w:r w:rsidR="007D0993">
              <w:rPr>
                <w:noProof/>
                <w:webHidden/>
              </w:rPr>
              <w:fldChar w:fldCharType="end"/>
            </w:r>
          </w:hyperlink>
        </w:p>
        <w:p w:rsidR="007D0993" w:rsidRDefault="0036082A">
          <w:pPr>
            <w:pStyle w:val="TOC1"/>
            <w:rPr>
              <w:rFonts w:asciiTheme="minorHAnsi" w:eastAsiaTheme="minorEastAsia" w:hAnsiTheme="minorHAnsi" w:cstheme="minorBidi"/>
              <w:b w:val="0"/>
              <w:noProof/>
              <w:sz w:val="22"/>
              <w:szCs w:val="22"/>
            </w:rPr>
          </w:pPr>
          <w:hyperlink w:anchor="_Toc446329111" w:history="1">
            <w:r w:rsidR="007D0993" w:rsidRPr="00FD64DA">
              <w:rPr>
                <w:rStyle w:val="Hyperlink"/>
                <w:noProof/>
              </w:rPr>
              <w:t>Introduction</w:t>
            </w:r>
            <w:r w:rsidR="007D0993">
              <w:rPr>
                <w:noProof/>
                <w:webHidden/>
              </w:rPr>
              <w:tab/>
            </w:r>
            <w:r w:rsidR="007D0993">
              <w:rPr>
                <w:noProof/>
                <w:webHidden/>
              </w:rPr>
              <w:fldChar w:fldCharType="begin"/>
            </w:r>
            <w:r w:rsidR="007D0993">
              <w:rPr>
                <w:noProof/>
                <w:webHidden/>
              </w:rPr>
              <w:instrText xml:space="preserve"> PAGEREF _Toc446329111 \h </w:instrText>
            </w:r>
            <w:r w:rsidR="007D0993">
              <w:rPr>
                <w:noProof/>
                <w:webHidden/>
              </w:rPr>
            </w:r>
            <w:r w:rsidR="007D0993">
              <w:rPr>
                <w:noProof/>
                <w:webHidden/>
              </w:rPr>
              <w:fldChar w:fldCharType="separate"/>
            </w:r>
            <w:r w:rsidR="007D0993">
              <w:rPr>
                <w:noProof/>
                <w:webHidden/>
              </w:rPr>
              <w:t>5</w:t>
            </w:r>
            <w:r w:rsidR="007D0993">
              <w:rPr>
                <w:noProof/>
                <w:webHidden/>
              </w:rPr>
              <w:fldChar w:fldCharType="end"/>
            </w:r>
          </w:hyperlink>
        </w:p>
        <w:p w:rsidR="007D0993" w:rsidRDefault="0036082A">
          <w:pPr>
            <w:pStyle w:val="TOC1"/>
            <w:rPr>
              <w:rFonts w:asciiTheme="minorHAnsi" w:eastAsiaTheme="minorEastAsia" w:hAnsiTheme="minorHAnsi" w:cstheme="minorBidi"/>
              <w:b w:val="0"/>
              <w:noProof/>
              <w:sz w:val="22"/>
              <w:szCs w:val="22"/>
            </w:rPr>
          </w:pPr>
          <w:hyperlink w:anchor="_Toc446329112" w:history="1">
            <w:r w:rsidR="007D0993" w:rsidRPr="00FD64DA">
              <w:rPr>
                <w:rStyle w:val="Hyperlink"/>
                <w:noProof/>
              </w:rPr>
              <w:t>Issues to consider in the review process</w:t>
            </w:r>
            <w:r w:rsidR="007D0993">
              <w:rPr>
                <w:noProof/>
                <w:webHidden/>
              </w:rPr>
              <w:tab/>
            </w:r>
            <w:r w:rsidR="007D0993">
              <w:rPr>
                <w:noProof/>
                <w:webHidden/>
              </w:rPr>
              <w:fldChar w:fldCharType="begin"/>
            </w:r>
            <w:r w:rsidR="007D0993">
              <w:rPr>
                <w:noProof/>
                <w:webHidden/>
              </w:rPr>
              <w:instrText xml:space="preserve"> PAGEREF _Toc446329112 \h </w:instrText>
            </w:r>
            <w:r w:rsidR="007D0993">
              <w:rPr>
                <w:noProof/>
                <w:webHidden/>
              </w:rPr>
            </w:r>
            <w:r w:rsidR="007D0993">
              <w:rPr>
                <w:noProof/>
                <w:webHidden/>
              </w:rPr>
              <w:fldChar w:fldCharType="separate"/>
            </w:r>
            <w:r w:rsidR="007D0993">
              <w:rPr>
                <w:noProof/>
                <w:webHidden/>
              </w:rPr>
              <w:t>6</w:t>
            </w:r>
            <w:r w:rsidR="007D0993">
              <w:rPr>
                <w:noProof/>
                <w:webHidden/>
              </w:rPr>
              <w:fldChar w:fldCharType="end"/>
            </w:r>
          </w:hyperlink>
        </w:p>
        <w:p w:rsidR="007D0993" w:rsidRDefault="0036082A">
          <w:pPr>
            <w:pStyle w:val="TOC2"/>
            <w:rPr>
              <w:rFonts w:asciiTheme="minorHAnsi" w:eastAsiaTheme="minorEastAsia" w:hAnsiTheme="minorHAnsi" w:cstheme="minorBidi"/>
              <w:sz w:val="22"/>
              <w:szCs w:val="22"/>
            </w:rPr>
          </w:pPr>
          <w:hyperlink w:anchor="_Toc446329113" w:history="1">
            <w:r w:rsidR="007D0993" w:rsidRPr="00FD64DA">
              <w:rPr>
                <w:rStyle w:val="Hyperlink"/>
              </w:rPr>
              <w:t>The need for ongoing consultation and involvement of people with disability and their representative organisations</w:t>
            </w:r>
            <w:r w:rsidR="007D0993">
              <w:rPr>
                <w:webHidden/>
              </w:rPr>
              <w:tab/>
            </w:r>
            <w:r w:rsidR="007D0993">
              <w:rPr>
                <w:webHidden/>
              </w:rPr>
              <w:fldChar w:fldCharType="begin"/>
            </w:r>
            <w:r w:rsidR="007D0993">
              <w:rPr>
                <w:webHidden/>
              </w:rPr>
              <w:instrText xml:space="preserve"> PAGEREF _Toc446329113 \h </w:instrText>
            </w:r>
            <w:r w:rsidR="007D0993">
              <w:rPr>
                <w:webHidden/>
              </w:rPr>
            </w:r>
            <w:r w:rsidR="007D0993">
              <w:rPr>
                <w:webHidden/>
              </w:rPr>
              <w:fldChar w:fldCharType="separate"/>
            </w:r>
            <w:r w:rsidR="007D0993">
              <w:rPr>
                <w:webHidden/>
              </w:rPr>
              <w:t>6</w:t>
            </w:r>
            <w:r w:rsidR="007D0993">
              <w:rPr>
                <w:webHidden/>
              </w:rPr>
              <w:fldChar w:fldCharType="end"/>
            </w:r>
          </w:hyperlink>
        </w:p>
        <w:p w:rsidR="007D0993" w:rsidRDefault="0036082A">
          <w:pPr>
            <w:pStyle w:val="TOC2"/>
            <w:rPr>
              <w:rFonts w:asciiTheme="minorHAnsi" w:eastAsiaTheme="minorEastAsia" w:hAnsiTheme="minorHAnsi" w:cstheme="minorBidi"/>
              <w:sz w:val="22"/>
              <w:szCs w:val="22"/>
            </w:rPr>
          </w:pPr>
          <w:hyperlink w:anchor="_Toc446329114" w:history="1">
            <w:r w:rsidR="007D0993" w:rsidRPr="00FD64DA">
              <w:rPr>
                <w:rStyle w:val="Hyperlink"/>
              </w:rPr>
              <w:t>The need for improved data collection about decision-making arrangements</w:t>
            </w:r>
            <w:r w:rsidR="007D0993">
              <w:rPr>
                <w:webHidden/>
              </w:rPr>
              <w:tab/>
            </w:r>
            <w:r w:rsidR="007D0993">
              <w:rPr>
                <w:webHidden/>
              </w:rPr>
              <w:fldChar w:fldCharType="begin"/>
            </w:r>
            <w:r w:rsidR="007D0993">
              <w:rPr>
                <w:webHidden/>
              </w:rPr>
              <w:instrText xml:space="preserve"> PAGEREF _Toc446329114 \h </w:instrText>
            </w:r>
            <w:r w:rsidR="007D0993">
              <w:rPr>
                <w:webHidden/>
              </w:rPr>
            </w:r>
            <w:r w:rsidR="007D0993">
              <w:rPr>
                <w:webHidden/>
              </w:rPr>
              <w:fldChar w:fldCharType="separate"/>
            </w:r>
            <w:r w:rsidR="007D0993">
              <w:rPr>
                <w:webHidden/>
              </w:rPr>
              <w:t>6</w:t>
            </w:r>
            <w:r w:rsidR="007D0993">
              <w:rPr>
                <w:webHidden/>
              </w:rPr>
              <w:fldChar w:fldCharType="end"/>
            </w:r>
          </w:hyperlink>
        </w:p>
        <w:p w:rsidR="007D0993" w:rsidRDefault="0036082A">
          <w:pPr>
            <w:pStyle w:val="TOC1"/>
            <w:rPr>
              <w:rFonts w:asciiTheme="minorHAnsi" w:eastAsiaTheme="minorEastAsia" w:hAnsiTheme="minorHAnsi" w:cstheme="minorBidi"/>
              <w:b w:val="0"/>
              <w:noProof/>
              <w:sz w:val="22"/>
              <w:szCs w:val="22"/>
            </w:rPr>
          </w:pPr>
          <w:hyperlink w:anchor="_Toc446329115" w:history="1">
            <w:r w:rsidR="007D0993" w:rsidRPr="00FD64DA">
              <w:rPr>
                <w:rStyle w:val="Hyperlink"/>
                <w:noProof/>
              </w:rPr>
              <w:t xml:space="preserve">Characteristics of a decision-making framework that will enable all people to </w:t>
            </w:r>
            <w:r w:rsidR="009825A3">
              <w:rPr>
                <w:rStyle w:val="Hyperlink"/>
                <w:noProof/>
              </w:rPr>
              <w:t xml:space="preserve"> </w:t>
            </w:r>
            <w:r w:rsidR="007D0993" w:rsidRPr="00FD64DA">
              <w:rPr>
                <w:rStyle w:val="Hyperlink"/>
                <w:noProof/>
              </w:rPr>
              <w:t>exercise capacity to their full extent and make choices about their lives</w:t>
            </w:r>
            <w:r w:rsidR="007D0993">
              <w:rPr>
                <w:noProof/>
                <w:webHidden/>
              </w:rPr>
              <w:tab/>
            </w:r>
            <w:r w:rsidR="007D0993">
              <w:rPr>
                <w:noProof/>
                <w:webHidden/>
              </w:rPr>
              <w:fldChar w:fldCharType="begin"/>
            </w:r>
            <w:r w:rsidR="007D0993">
              <w:rPr>
                <w:noProof/>
                <w:webHidden/>
              </w:rPr>
              <w:instrText xml:space="preserve"> PAGEREF _Toc446329115 \h </w:instrText>
            </w:r>
            <w:r w:rsidR="007D0993">
              <w:rPr>
                <w:noProof/>
                <w:webHidden/>
              </w:rPr>
            </w:r>
            <w:r w:rsidR="007D0993">
              <w:rPr>
                <w:noProof/>
                <w:webHidden/>
              </w:rPr>
              <w:fldChar w:fldCharType="separate"/>
            </w:r>
            <w:r w:rsidR="007D0993">
              <w:rPr>
                <w:noProof/>
                <w:webHidden/>
              </w:rPr>
              <w:t>7</w:t>
            </w:r>
            <w:r w:rsidR="007D0993">
              <w:rPr>
                <w:noProof/>
                <w:webHidden/>
              </w:rPr>
              <w:fldChar w:fldCharType="end"/>
            </w:r>
          </w:hyperlink>
        </w:p>
        <w:p w:rsidR="007D0993" w:rsidRDefault="0036082A">
          <w:pPr>
            <w:pStyle w:val="TOC2"/>
            <w:rPr>
              <w:rFonts w:asciiTheme="minorHAnsi" w:eastAsiaTheme="minorEastAsia" w:hAnsiTheme="minorHAnsi" w:cstheme="minorBidi"/>
              <w:sz w:val="22"/>
              <w:szCs w:val="22"/>
            </w:rPr>
          </w:pPr>
          <w:hyperlink w:anchor="_Toc446329116" w:history="1">
            <w:r w:rsidR="007D0993" w:rsidRPr="00FD64DA">
              <w:rPr>
                <w:rStyle w:val="Hyperlink"/>
              </w:rPr>
              <w:t>Consistency with Australia’s obligations under the UNCRPD and other international human rights instruments</w:t>
            </w:r>
            <w:r w:rsidR="007D0993">
              <w:rPr>
                <w:webHidden/>
              </w:rPr>
              <w:tab/>
            </w:r>
            <w:r w:rsidR="007D0993">
              <w:rPr>
                <w:webHidden/>
              </w:rPr>
              <w:fldChar w:fldCharType="begin"/>
            </w:r>
            <w:r w:rsidR="007D0993">
              <w:rPr>
                <w:webHidden/>
              </w:rPr>
              <w:instrText xml:space="preserve"> PAGEREF _Toc446329116 \h </w:instrText>
            </w:r>
            <w:r w:rsidR="007D0993">
              <w:rPr>
                <w:webHidden/>
              </w:rPr>
            </w:r>
            <w:r w:rsidR="007D0993">
              <w:rPr>
                <w:webHidden/>
              </w:rPr>
              <w:fldChar w:fldCharType="separate"/>
            </w:r>
            <w:r w:rsidR="007D0993">
              <w:rPr>
                <w:webHidden/>
              </w:rPr>
              <w:t>7</w:t>
            </w:r>
            <w:r w:rsidR="007D0993">
              <w:rPr>
                <w:webHidden/>
              </w:rPr>
              <w:fldChar w:fldCharType="end"/>
            </w:r>
          </w:hyperlink>
        </w:p>
        <w:p w:rsidR="007D0993" w:rsidRDefault="0036082A">
          <w:pPr>
            <w:pStyle w:val="TOC2"/>
            <w:rPr>
              <w:rFonts w:asciiTheme="minorHAnsi" w:eastAsiaTheme="minorEastAsia" w:hAnsiTheme="minorHAnsi" w:cstheme="minorBidi"/>
              <w:sz w:val="22"/>
              <w:szCs w:val="22"/>
            </w:rPr>
          </w:pPr>
          <w:hyperlink w:anchor="_Toc446329117" w:history="1">
            <w:r w:rsidR="007D0993" w:rsidRPr="00FD64DA">
              <w:rPr>
                <w:rStyle w:val="Hyperlink"/>
              </w:rPr>
              <w:t xml:space="preserve">Underpinning principles that are more expansive, comprehensive and human rights centred principles than the current general principles in section 4 of the </w:t>
            </w:r>
            <w:r w:rsidR="00F05AD8">
              <w:rPr>
                <w:rStyle w:val="Hyperlink"/>
              </w:rPr>
              <w:t xml:space="preserve">           </w:t>
            </w:r>
            <w:r w:rsidR="007D0993" w:rsidRPr="00FD64DA">
              <w:rPr>
                <w:rStyle w:val="Hyperlink"/>
                <w:i/>
              </w:rPr>
              <w:t>Guardianship Act</w:t>
            </w:r>
            <w:r w:rsidR="007D0993">
              <w:rPr>
                <w:webHidden/>
              </w:rPr>
              <w:tab/>
            </w:r>
            <w:r w:rsidR="007D0993">
              <w:rPr>
                <w:webHidden/>
              </w:rPr>
              <w:fldChar w:fldCharType="begin"/>
            </w:r>
            <w:r w:rsidR="007D0993">
              <w:rPr>
                <w:webHidden/>
              </w:rPr>
              <w:instrText xml:space="preserve"> PAGEREF _Toc446329117 \h </w:instrText>
            </w:r>
            <w:r w:rsidR="007D0993">
              <w:rPr>
                <w:webHidden/>
              </w:rPr>
            </w:r>
            <w:r w:rsidR="007D0993">
              <w:rPr>
                <w:webHidden/>
              </w:rPr>
              <w:fldChar w:fldCharType="separate"/>
            </w:r>
            <w:r w:rsidR="007D0993">
              <w:rPr>
                <w:webHidden/>
              </w:rPr>
              <w:t>8</w:t>
            </w:r>
            <w:r w:rsidR="007D0993">
              <w:rPr>
                <w:webHidden/>
              </w:rPr>
              <w:fldChar w:fldCharType="end"/>
            </w:r>
          </w:hyperlink>
        </w:p>
        <w:p w:rsidR="007D0993" w:rsidRDefault="0036082A">
          <w:pPr>
            <w:pStyle w:val="TOC2"/>
            <w:rPr>
              <w:rFonts w:asciiTheme="minorHAnsi" w:eastAsiaTheme="minorEastAsia" w:hAnsiTheme="minorHAnsi" w:cstheme="minorBidi"/>
              <w:sz w:val="22"/>
              <w:szCs w:val="22"/>
            </w:rPr>
          </w:pPr>
          <w:hyperlink w:anchor="_Toc446329118" w:history="1">
            <w:r w:rsidR="007D0993" w:rsidRPr="00FD64DA">
              <w:rPr>
                <w:rStyle w:val="Hyperlink"/>
              </w:rPr>
              <w:t xml:space="preserve">Assessment of decision-making ability that allows for the reality that </w:t>
            </w:r>
            <w:r w:rsidR="00F05AD8">
              <w:rPr>
                <w:rStyle w:val="Hyperlink"/>
              </w:rPr>
              <w:t xml:space="preserve">                    </w:t>
            </w:r>
            <w:r w:rsidR="007D0993" w:rsidRPr="00FD64DA">
              <w:rPr>
                <w:rStyle w:val="Hyperlink"/>
              </w:rPr>
              <w:t>decision-making ability is decision-specific and can change over time</w:t>
            </w:r>
            <w:r w:rsidR="007D0993">
              <w:rPr>
                <w:webHidden/>
              </w:rPr>
              <w:tab/>
            </w:r>
            <w:r w:rsidR="007D0993">
              <w:rPr>
                <w:webHidden/>
              </w:rPr>
              <w:fldChar w:fldCharType="begin"/>
            </w:r>
            <w:r w:rsidR="007D0993">
              <w:rPr>
                <w:webHidden/>
              </w:rPr>
              <w:instrText xml:space="preserve"> PAGEREF _Toc446329118 \h </w:instrText>
            </w:r>
            <w:r w:rsidR="007D0993">
              <w:rPr>
                <w:webHidden/>
              </w:rPr>
            </w:r>
            <w:r w:rsidR="007D0993">
              <w:rPr>
                <w:webHidden/>
              </w:rPr>
              <w:fldChar w:fldCharType="separate"/>
            </w:r>
            <w:r w:rsidR="007D0993">
              <w:rPr>
                <w:webHidden/>
              </w:rPr>
              <w:t>9</w:t>
            </w:r>
            <w:r w:rsidR="007D0993">
              <w:rPr>
                <w:webHidden/>
              </w:rPr>
              <w:fldChar w:fldCharType="end"/>
            </w:r>
          </w:hyperlink>
        </w:p>
        <w:p w:rsidR="007D0993" w:rsidRDefault="0036082A">
          <w:pPr>
            <w:pStyle w:val="TOC2"/>
            <w:rPr>
              <w:rFonts w:asciiTheme="minorHAnsi" w:eastAsiaTheme="minorEastAsia" w:hAnsiTheme="minorHAnsi" w:cstheme="minorBidi"/>
              <w:sz w:val="22"/>
              <w:szCs w:val="22"/>
            </w:rPr>
          </w:pPr>
          <w:hyperlink w:anchor="_Toc446329119" w:history="1">
            <w:r w:rsidR="007D0993" w:rsidRPr="00FD64DA">
              <w:rPr>
                <w:rStyle w:val="Hyperlink"/>
              </w:rPr>
              <w:t>Clarity about the relationship between guardianship law in NSW and the NDIS</w:t>
            </w:r>
            <w:r w:rsidR="00F05AD8">
              <w:rPr>
                <w:rStyle w:val="Hyperlink"/>
              </w:rPr>
              <w:t xml:space="preserve">      </w:t>
            </w:r>
            <w:r w:rsidR="007D0993" w:rsidRPr="00FD64DA">
              <w:rPr>
                <w:rStyle w:val="Hyperlink"/>
              </w:rPr>
              <w:t xml:space="preserve"> nominee scheme and other Commonwealth schemes</w:t>
            </w:r>
            <w:r w:rsidR="007D0993">
              <w:rPr>
                <w:webHidden/>
              </w:rPr>
              <w:tab/>
            </w:r>
            <w:r w:rsidR="007D0993">
              <w:rPr>
                <w:webHidden/>
              </w:rPr>
              <w:fldChar w:fldCharType="begin"/>
            </w:r>
            <w:r w:rsidR="007D0993">
              <w:rPr>
                <w:webHidden/>
              </w:rPr>
              <w:instrText xml:space="preserve"> PAGEREF _Toc446329119 \h </w:instrText>
            </w:r>
            <w:r w:rsidR="007D0993">
              <w:rPr>
                <w:webHidden/>
              </w:rPr>
            </w:r>
            <w:r w:rsidR="007D0993">
              <w:rPr>
                <w:webHidden/>
              </w:rPr>
              <w:fldChar w:fldCharType="separate"/>
            </w:r>
            <w:r w:rsidR="007D0993">
              <w:rPr>
                <w:webHidden/>
              </w:rPr>
              <w:t>10</w:t>
            </w:r>
            <w:r w:rsidR="007D0993">
              <w:rPr>
                <w:webHidden/>
              </w:rPr>
              <w:fldChar w:fldCharType="end"/>
            </w:r>
          </w:hyperlink>
        </w:p>
        <w:p w:rsidR="007D0993" w:rsidRDefault="0036082A">
          <w:pPr>
            <w:pStyle w:val="TOC2"/>
            <w:rPr>
              <w:rFonts w:asciiTheme="minorHAnsi" w:eastAsiaTheme="minorEastAsia" w:hAnsiTheme="minorHAnsi" w:cstheme="minorBidi"/>
              <w:sz w:val="22"/>
              <w:szCs w:val="22"/>
            </w:rPr>
          </w:pPr>
          <w:hyperlink w:anchor="_Toc446329120" w:history="1">
            <w:r w:rsidR="007D0993" w:rsidRPr="00FD64DA">
              <w:rPr>
                <w:rStyle w:val="Hyperlink"/>
              </w:rPr>
              <w:t>Provision for and promotion of alternatives to substitute decision-making, including supported decision-making models that are drawn from local and international</w:t>
            </w:r>
            <w:r w:rsidR="00F05AD8">
              <w:rPr>
                <w:rStyle w:val="Hyperlink"/>
              </w:rPr>
              <w:t xml:space="preserve">        </w:t>
            </w:r>
            <w:r w:rsidR="007D0993" w:rsidRPr="00FD64DA">
              <w:rPr>
                <w:rStyle w:val="Hyperlink"/>
              </w:rPr>
              <w:t xml:space="preserve"> models of best practice</w:t>
            </w:r>
            <w:r w:rsidR="007D0993">
              <w:rPr>
                <w:webHidden/>
              </w:rPr>
              <w:tab/>
            </w:r>
            <w:r w:rsidR="007D0993">
              <w:rPr>
                <w:webHidden/>
              </w:rPr>
              <w:fldChar w:fldCharType="begin"/>
            </w:r>
            <w:r w:rsidR="007D0993">
              <w:rPr>
                <w:webHidden/>
              </w:rPr>
              <w:instrText xml:space="preserve"> PAGEREF _Toc446329120 \h </w:instrText>
            </w:r>
            <w:r w:rsidR="007D0993">
              <w:rPr>
                <w:webHidden/>
              </w:rPr>
            </w:r>
            <w:r w:rsidR="007D0993">
              <w:rPr>
                <w:webHidden/>
              </w:rPr>
              <w:fldChar w:fldCharType="separate"/>
            </w:r>
            <w:r w:rsidR="007D0993">
              <w:rPr>
                <w:webHidden/>
              </w:rPr>
              <w:t>11</w:t>
            </w:r>
            <w:r w:rsidR="007D0993">
              <w:rPr>
                <w:webHidden/>
              </w:rPr>
              <w:fldChar w:fldCharType="end"/>
            </w:r>
          </w:hyperlink>
        </w:p>
        <w:p w:rsidR="007D0993" w:rsidRDefault="0036082A">
          <w:pPr>
            <w:pStyle w:val="TOC2"/>
            <w:rPr>
              <w:rFonts w:asciiTheme="minorHAnsi" w:eastAsiaTheme="minorEastAsia" w:hAnsiTheme="minorHAnsi" w:cstheme="minorBidi"/>
              <w:sz w:val="22"/>
              <w:szCs w:val="22"/>
            </w:rPr>
          </w:pPr>
          <w:hyperlink w:anchor="_Toc446329121" w:history="1">
            <w:r w:rsidR="007D0993" w:rsidRPr="00FD64DA">
              <w:rPr>
                <w:rStyle w:val="Hyperlink"/>
              </w:rPr>
              <w:t>Resources that build the decision-making ability of people with disability and drive cultural change</w:t>
            </w:r>
            <w:r w:rsidR="007D0993">
              <w:rPr>
                <w:webHidden/>
              </w:rPr>
              <w:tab/>
            </w:r>
            <w:r w:rsidR="007D0993">
              <w:rPr>
                <w:webHidden/>
              </w:rPr>
              <w:fldChar w:fldCharType="begin"/>
            </w:r>
            <w:r w:rsidR="007D0993">
              <w:rPr>
                <w:webHidden/>
              </w:rPr>
              <w:instrText xml:space="preserve"> PAGEREF _Toc446329121 \h </w:instrText>
            </w:r>
            <w:r w:rsidR="007D0993">
              <w:rPr>
                <w:webHidden/>
              </w:rPr>
            </w:r>
            <w:r w:rsidR="007D0993">
              <w:rPr>
                <w:webHidden/>
              </w:rPr>
              <w:fldChar w:fldCharType="separate"/>
            </w:r>
            <w:r w:rsidR="007D0993">
              <w:rPr>
                <w:webHidden/>
              </w:rPr>
              <w:t>14</w:t>
            </w:r>
            <w:r w:rsidR="007D0993">
              <w:rPr>
                <w:webHidden/>
              </w:rPr>
              <w:fldChar w:fldCharType="end"/>
            </w:r>
          </w:hyperlink>
        </w:p>
        <w:p w:rsidR="007D0993" w:rsidRDefault="0036082A">
          <w:pPr>
            <w:pStyle w:val="TOC2"/>
            <w:rPr>
              <w:rFonts w:asciiTheme="minorHAnsi" w:eastAsiaTheme="minorEastAsia" w:hAnsiTheme="minorHAnsi" w:cstheme="minorBidi"/>
              <w:sz w:val="22"/>
              <w:szCs w:val="22"/>
            </w:rPr>
          </w:pPr>
          <w:hyperlink w:anchor="_Toc446329122" w:history="1">
            <w:r w:rsidR="007D0993" w:rsidRPr="00FD64DA">
              <w:rPr>
                <w:rStyle w:val="Hyperlink"/>
              </w:rPr>
              <w:t xml:space="preserve">A representative decision-making scheme that can be implemented in limited circumstances where a person does not have the ability to make particular </w:t>
            </w:r>
            <w:r w:rsidR="00F05AD8">
              <w:rPr>
                <w:rStyle w:val="Hyperlink"/>
              </w:rPr>
              <w:t xml:space="preserve">             </w:t>
            </w:r>
            <w:r w:rsidR="007D0993" w:rsidRPr="00FD64DA">
              <w:rPr>
                <w:rStyle w:val="Hyperlink"/>
              </w:rPr>
              <w:t xml:space="preserve">decisions and will require the representative to exercise their powers to </w:t>
            </w:r>
            <w:r w:rsidR="00F05AD8">
              <w:rPr>
                <w:rStyle w:val="Hyperlink"/>
              </w:rPr>
              <w:t xml:space="preserve">                   </w:t>
            </w:r>
            <w:r w:rsidR="007D0993" w:rsidRPr="00FD64DA">
              <w:rPr>
                <w:rStyle w:val="Hyperlink"/>
              </w:rPr>
              <w:t>promote the personal and social wellbeing of the person</w:t>
            </w:r>
            <w:r w:rsidR="007D0993">
              <w:rPr>
                <w:webHidden/>
              </w:rPr>
              <w:tab/>
            </w:r>
            <w:r w:rsidR="007D0993">
              <w:rPr>
                <w:webHidden/>
              </w:rPr>
              <w:fldChar w:fldCharType="begin"/>
            </w:r>
            <w:r w:rsidR="007D0993">
              <w:rPr>
                <w:webHidden/>
              </w:rPr>
              <w:instrText xml:space="preserve"> PAGEREF _Toc446329122 \h </w:instrText>
            </w:r>
            <w:r w:rsidR="007D0993">
              <w:rPr>
                <w:webHidden/>
              </w:rPr>
            </w:r>
            <w:r w:rsidR="007D0993">
              <w:rPr>
                <w:webHidden/>
              </w:rPr>
              <w:fldChar w:fldCharType="separate"/>
            </w:r>
            <w:r w:rsidR="007D0993">
              <w:rPr>
                <w:webHidden/>
              </w:rPr>
              <w:t>15</w:t>
            </w:r>
            <w:r w:rsidR="007D0993">
              <w:rPr>
                <w:webHidden/>
              </w:rPr>
              <w:fldChar w:fldCharType="end"/>
            </w:r>
          </w:hyperlink>
        </w:p>
        <w:p w:rsidR="007D0993" w:rsidRDefault="0036082A">
          <w:pPr>
            <w:pStyle w:val="TOC2"/>
            <w:rPr>
              <w:rFonts w:asciiTheme="minorHAnsi" w:eastAsiaTheme="minorEastAsia" w:hAnsiTheme="minorHAnsi" w:cstheme="minorBidi"/>
              <w:sz w:val="22"/>
              <w:szCs w:val="22"/>
            </w:rPr>
          </w:pPr>
          <w:hyperlink w:anchor="_Toc446329123" w:history="1">
            <w:r w:rsidR="007D0993" w:rsidRPr="00FD64DA">
              <w:rPr>
                <w:rStyle w:val="Hyperlink"/>
              </w:rPr>
              <w:t>Safeguards against abuse, neglect and exploitation of people with disability</w:t>
            </w:r>
            <w:r w:rsidR="007D0993">
              <w:rPr>
                <w:webHidden/>
              </w:rPr>
              <w:tab/>
            </w:r>
            <w:r w:rsidR="007D0993">
              <w:rPr>
                <w:webHidden/>
              </w:rPr>
              <w:fldChar w:fldCharType="begin"/>
            </w:r>
            <w:r w:rsidR="007D0993">
              <w:rPr>
                <w:webHidden/>
              </w:rPr>
              <w:instrText xml:space="preserve"> PAGEREF _Toc446329123 \h </w:instrText>
            </w:r>
            <w:r w:rsidR="007D0993">
              <w:rPr>
                <w:webHidden/>
              </w:rPr>
            </w:r>
            <w:r w:rsidR="007D0993">
              <w:rPr>
                <w:webHidden/>
              </w:rPr>
              <w:fldChar w:fldCharType="separate"/>
            </w:r>
            <w:r w:rsidR="007D0993">
              <w:rPr>
                <w:webHidden/>
              </w:rPr>
              <w:t>16</w:t>
            </w:r>
            <w:r w:rsidR="007D0993">
              <w:rPr>
                <w:webHidden/>
              </w:rPr>
              <w:fldChar w:fldCharType="end"/>
            </w:r>
          </w:hyperlink>
        </w:p>
        <w:p w:rsidR="007D0993" w:rsidRDefault="0036082A">
          <w:pPr>
            <w:pStyle w:val="TOC2"/>
            <w:rPr>
              <w:rFonts w:asciiTheme="minorHAnsi" w:eastAsiaTheme="minorEastAsia" w:hAnsiTheme="minorHAnsi" w:cstheme="minorBidi"/>
              <w:sz w:val="22"/>
              <w:szCs w:val="22"/>
            </w:rPr>
          </w:pPr>
          <w:hyperlink w:anchor="_Toc446329124" w:history="1">
            <w:r w:rsidR="007D0993" w:rsidRPr="00FD64DA">
              <w:rPr>
                <w:rStyle w:val="Hyperlink"/>
              </w:rPr>
              <w:t xml:space="preserve">Legislative provisions that explicitly address the circumstances in which the </w:t>
            </w:r>
            <w:r w:rsidR="00F05AD8">
              <w:rPr>
                <w:rStyle w:val="Hyperlink"/>
              </w:rPr>
              <w:t xml:space="preserve">                </w:t>
            </w:r>
            <w:r w:rsidR="007D0993" w:rsidRPr="00FD64DA">
              <w:rPr>
                <w:rStyle w:val="Hyperlink"/>
              </w:rPr>
              <w:t xml:space="preserve">use of restrictive practices will be lawful in relation to people with impaired </w:t>
            </w:r>
            <w:r w:rsidR="00F05AD8">
              <w:rPr>
                <w:rStyle w:val="Hyperlink"/>
              </w:rPr>
              <w:t xml:space="preserve">                          </w:t>
            </w:r>
            <w:r w:rsidR="007D0993" w:rsidRPr="00FD64DA">
              <w:rPr>
                <w:rStyle w:val="Hyperlink"/>
              </w:rPr>
              <w:t>decision-making ability</w:t>
            </w:r>
            <w:r w:rsidR="007D0993">
              <w:rPr>
                <w:webHidden/>
              </w:rPr>
              <w:tab/>
            </w:r>
            <w:r w:rsidR="007D0993">
              <w:rPr>
                <w:webHidden/>
              </w:rPr>
              <w:fldChar w:fldCharType="begin"/>
            </w:r>
            <w:r w:rsidR="007D0993">
              <w:rPr>
                <w:webHidden/>
              </w:rPr>
              <w:instrText xml:space="preserve"> PAGEREF _Toc446329124 \h </w:instrText>
            </w:r>
            <w:r w:rsidR="007D0993">
              <w:rPr>
                <w:webHidden/>
              </w:rPr>
            </w:r>
            <w:r w:rsidR="007D0993">
              <w:rPr>
                <w:webHidden/>
              </w:rPr>
              <w:fldChar w:fldCharType="separate"/>
            </w:r>
            <w:r w:rsidR="007D0993">
              <w:rPr>
                <w:webHidden/>
              </w:rPr>
              <w:t>17</w:t>
            </w:r>
            <w:r w:rsidR="007D0993">
              <w:rPr>
                <w:webHidden/>
              </w:rPr>
              <w:fldChar w:fldCharType="end"/>
            </w:r>
          </w:hyperlink>
        </w:p>
        <w:p w:rsidR="007D0993" w:rsidRDefault="0036082A">
          <w:pPr>
            <w:pStyle w:val="TOC1"/>
            <w:rPr>
              <w:rFonts w:asciiTheme="minorHAnsi" w:eastAsiaTheme="minorEastAsia" w:hAnsiTheme="minorHAnsi" w:cstheme="minorBidi"/>
              <w:b w:val="0"/>
              <w:noProof/>
              <w:sz w:val="22"/>
              <w:szCs w:val="22"/>
            </w:rPr>
          </w:pPr>
          <w:hyperlink w:anchor="_Toc446329125" w:history="1">
            <w:r w:rsidR="007D0993" w:rsidRPr="00FD64DA">
              <w:rPr>
                <w:rStyle w:val="Hyperlink"/>
                <w:noProof/>
                <w:lang w:eastAsia="en-US"/>
              </w:rPr>
              <w:t>Reference List</w:t>
            </w:r>
            <w:r w:rsidR="007D0993">
              <w:rPr>
                <w:noProof/>
                <w:webHidden/>
              </w:rPr>
              <w:tab/>
            </w:r>
            <w:r w:rsidR="007D0993">
              <w:rPr>
                <w:noProof/>
                <w:webHidden/>
              </w:rPr>
              <w:fldChar w:fldCharType="begin"/>
            </w:r>
            <w:r w:rsidR="007D0993">
              <w:rPr>
                <w:noProof/>
                <w:webHidden/>
              </w:rPr>
              <w:instrText xml:space="preserve"> PAGEREF _Toc446329125 \h </w:instrText>
            </w:r>
            <w:r w:rsidR="007D0993">
              <w:rPr>
                <w:noProof/>
                <w:webHidden/>
              </w:rPr>
            </w:r>
            <w:r w:rsidR="007D0993">
              <w:rPr>
                <w:noProof/>
                <w:webHidden/>
              </w:rPr>
              <w:fldChar w:fldCharType="separate"/>
            </w:r>
            <w:r w:rsidR="007D0993">
              <w:rPr>
                <w:noProof/>
                <w:webHidden/>
              </w:rPr>
              <w:t>18</w:t>
            </w:r>
            <w:r w:rsidR="007D0993">
              <w:rPr>
                <w:noProof/>
                <w:webHidden/>
              </w:rPr>
              <w:fldChar w:fldCharType="end"/>
            </w:r>
          </w:hyperlink>
        </w:p>
        <w:p w:rsidR="00F05AA7" w:rsidRDefault="00F66628" w:rsidP="00F05AA7">
          <w:pPr>
            <w:rPr>
              <w:bCs/>
              <w:noProof/>
            </w:rPr>
          </w:pPr>
          <w:r w:rsidRPr="00500AD9">
            <w:rPr>
              <w:b/>
              <w:bCs/>
              <w:noProof/>
            </w:rPr>
            <w:fldChar w:fldCharType="end"/>
          </w:r>
        </w:p>
      </w:sdtContent>
    </w:sdt>
    <w:p w:rsidR="008475FC" w:rsidRDefault="008475FC">
      <w:pPr>
        <w:spacing w:before="0" w:after="0"/>
        <w:rPr>
          <w:b/>
          <w:bCs/>
          <w:sz w:val="28"/>
          <w:szCs w:val="28"/>
        </w:rPr>
      </w:pPr>
      <w:r>
        <w:br w:type="page"/>
      </w:r>
    </w:p>
    <w:p w:rsidR="00CA2D8A" w:rsidRPr="00F05AA7" w:rsidRDefault="00CA2D8A" w:rsidP="00F05AA7">
      <w:pPr>
        <w:pStyle w:val="Heading1"/>
        <w:rPr>
          <w:noProof/>
        </w:rPr>
      </w:pPr>
      <w:bookmarkStart w:id="15" w:name="_Toc446329108"/>
      <w:r w:rsidRPr="002935BF">
        <w:lastRenderedPageBreak/>
        <w:t>Disability Council NSW</w:t>
      </w:r>
      <w:bookmarkEnd w:id="13"/>
      <w:bookmarkEnd w:id="15"/>
      <w:bookmarkEnd w:id="14"/>
    </w:p>
    <w:p w:rsidR="00F846CD" w:rsidRDefault="00CA2D8A" w:rsidP="00CA2D8A">
      <w:pPr>
        <w:rPr>
          <w:rFonts w:cs="Arial"/>
        </w:rPr>
      </w:pPr>
      <w:r w:rsidRPr="00F45FAD">
        <w:rPr>
          <w:rFonts w:cs="Arial"/>
        </w:rPr>
        <w:t>The Disability Council NSW (</w:t>
      </w:r>
      <w:r w:rsidR="00F846CD">
        <w:rPr>
          <w:rFonts w:cs="Arial"/>
        </w:rPr>
        <w:t xml:space="preserve">also known as ‘the </w:t>
      </w:r>
      <w:r w:rsidRPr="00F45FAD">
        <w:rPr>
          <w:rFonts w:cs="Arial"/>
        </w:rPr>
        <w:t>Council</w:t>
      </w:r>
      <w:r w:rsidR="00F846CD">
        <w:rPr>
          <w:rFonts w:cs="Arial"/>
        </w:rPr>
        <w:t>’</w:t>
      </w:r>
      <w:r w:rsidRPr="00F45FAD">
        <w:rPr>
          <w:rFonts w:cs="Arial"/>
        </w:rPr>
        <w:t xml:space="preserve">) was established under the </w:t>
      </w:r>
      <w:r w:rsidRPr="00F45FAD">
        <w:rPr>
          <w:rFonts w:cs="Arial"/>
          <w:i/>
          <w:iCs/>
        </w:rPr>
        <w:t>Community Welfare Act</w:t>
      </w:r>
      <w:r w:rsidR="00156AAE">
        <w:rPr>
          <w:rFonts w:cs="Arial"/>
          <w:i/>
          <w:iCs/>
        </w:rPr>
        <w:t xml:space="preserve"> </w:t>
      </w:r>
      <w:r w:rsidRPr="00F45FAD">
        <w:rPr>
          <w:rFonts w:cs="Arial"/>
          <w:i/>
          <w:iCs/>
        </w:rPr>
        <w:t xml:space="preserve">1987 </w:t>
      </w:r>
      <w:r w:rsidRPr="00F45FAD">
        <w:rPr>
          <w:rFonts w:cs="Arial"/>
          <w:iCs/>
        </w:rPr>
        <w:t>(NSW)</w:t>
      </w:r>
      <w:r w:rsidRPr="00F45FAD">
        <w:rPr>
          <w:rFonts w:cs="Arial"/>
        </w:rPr>
        <w:t xml:space="preserve">, and was </w:t>
      </w:r>
      <w:r w:rsidR="00FD6769">
        <w:rPr>
          <w:rFonts w:cs="Arial"/>
        </w:rPr>
        <w:t>re-constituted</w:t>
      </w:r>
      <w:r w:rsidRPr="00F45FAD">
        <w:rPr>
          <w:rFonts w:cs="Arial"/>
        </w:rPr>
        <w:t xml:space="preserve"> under the </w:t>
      </w:r>
      <w:r w:rsidRPr="00F45FAD">
        <w:rPr>
          <w:rFonts w:cs="Arial"/>
          <w:i/>
          <w:iCs/>
        </w:rPr>
        <w:t>Disability Inclusion Act 2014</w:t>
      </w:r>
      <w:r w:rsidR="00DF0943">
        <w:rPr>
          <w:rFonts w:cs="Arial"/>
          <w:i/>
          <w:iCs/>
        </w:rPr>
        <w:t xml:space="preserve"> </w:t>
      </w:r>
      <w:r w:rsidRPr="00F45FAD">
        <w:rPr>
          <w:rFonts w:cs="Arial"/>
          <w:iCs/>
        </w:rPr>
        <w:t xml:space="preserve">(NSW) </w:t>
      </w:r>
      <w:r w:rsidRPr="00F45FAD">
        <w:rPr>
          <w:rFonts w:cs="Arial"/>
        </w:rPr>
        <w:t>on 3</w:t>
      </w:r>
      <w:r w:rsidR="00893CEA">
        <w:rPr>
          <w:rFonts w:cs="Arial"/>
        </w:rPr>
        <w:t xml:space="preserve"> </w:t>
      </w:r>
      <w:r w:rsidRPr="00F45FAD">
        <w:rPr>
          <w:rFonts w:cs="Arial"/>
        </w:rPr>
        <w:t xml:space="preserve">December 2014. </w:t>
      </w:r>
      <w:r w:rsidR="00F846CD">
        <w:rPr>
          <w:rFonts w:cs="Arial"/>
        </w:rPr>
        <w:t xml:space="preserve">The </w:t>
      </w:r>
      <w:r w:rsidR="00F846CD">
        <w:rPr>
          <w:rFonts w:cs="Arial"/>
          <w:i/>
        </w:rPr>
        <w:t xml:space="preserve">Disability Inclusion Act </w:t>
      </w:r>
      <w:r w:rsidR="00F846CD" w:rsidRPr="00F846CD">
        <w:rPr>
          <w:rFonts w:cs="Arial"/>
        </w:rPr>
        <w:t>2014</w:t>
      </w:r>
      <w:r w:rsidR="00F846CD">
        <w:rPr>
          <w:rFonts w:cs="Arial"/>
        </w:rPr>
        <w:t xml:space="preserve"> provides a rights-based legislation framework for the Council.</w:t>
      </w:r>
    </w:p>
    <w:p w:rsidR="00CA2D8A" w:rsidRPr="00F45FAD" w:rsidRDefault="00F846CD" w:rsidP="00CA2D8A">
      <w:pPr>
        <w:rPr>
          <w:rFonts w:cs="Arial"/>
        </w:rPr>
      </w:pPr>
      <w:r>
        <w:rPr>
          <w:rFonts w:cs="Arial"/>
        </w:rPr>
        <w:t xml:space="preserve">The </w:t>
      </w:r>
      <w:r w:rsidR="00CA2D8A" w:rsidRPr="00F846CD">
        <w:rPr>
          <w:rFonts w:cs="Arial"/>
        </w:rPr>
        <w:t>Council's</w:t>
      </w:r>
      <w:r w:rsidR="00CA2D8A" w:rsidRPr="00F45FAD">
        <w:rPr>
          <w:rFonts w:cs="Arial"/>
        </w:rPr>
        <w:t xml:space="preserve"> main responsibilities under the </w:t>
      </w:r>
      <w:r w:rsidRPr="00F846CD">
        <w:rPr>
          <w:rFonts w:cs="Arial"/>
          <w:i/>
        </w:rPr>
        <w:t xml:space="preserve">Disability Inclusion </w:t>
      </w:r>
      <w:r w:rsidR="00CA2D8A" w:rsidRPr="00F846CD">
        <w:rPr>
          <w:rFonts w:cs="Arial"/>
          <w:i/>
        </w:rPr>
        <w:t>Act</w:t>
      </w:r>
      <w:r w:rsidRPr="00F846CD">
        <w:rPr>
          <w:rFonts w:cs="Arial"/>
          <w:i/>
        </w:rPr>
        <w:t xml:space="preserve"> 2014</w:t>
      </w:r>
      <w:r w:rsidR="00855919">
        <w:rPr>
          <w:rFonts w:cs="Arial"/>
          <w:i/>
        </w:rPr>
        <w:t xml:space="preserve"> </w:t>
      </w:r>
      <w:r w:rsidR="00CA2D8A">
        <w:rPr>
          <w:rFonts w:cs="Arial"/>
        </w:rPr>
        <w:t>are to:</w:t>
      </w:r>
    </w:p>
    <w:p w:rsidR="00CA2D8A" w:rsidRPr="00F45FAD" w:rsidRDefault="00CA2D8A" w:rsidP="00EF372D">
      <w:pPr>
        <w:numPr>
          <w:ilvl w:val="0"/>
          <w:numId w:val="15"/>
        </w:numPr>
        <w:spacing w:before="0" w:after="0"/>
        <w:ind w:left="714" w:hanging="357"/>
        <w:rPr>
          <w:rFonts w:cs="Arial"/>
        </w:rPr>
      </w:pPr>
      <w:r w:rsidRPr="00F45FAD">
        <w:rPr>
          <w:rFonts w:cs="Arial"/>
          <w:bCs/>
        </w:rPr>
        <w:t>Monitor</w:t>
      </w:r>
      <w:r w:rsidRPr="00F45FAD">
        <w:rPr>
          <w:rFonts w:cs="Arial"/>
        </w:rPr>
        <w:t xml:space="preserve"> the implementation of Government policy;</w:t>
      </w:r>
    </w:p>
    <w:p w:rsidR="00CA2D8A" w:rsidRPr="00F45FAD" w:rsidRDefault="00CA2D8A" w:rsidP="00EF372D">
      <w:pPr>
        <w:numPr>
          <w:ilvl w:val="0"/>
          <w:numId w:val="15"/>
        </w:numPr>
        <w:spacing w:before="0" w:after="0"/>
        <w:ind w:left="714" w:hanging="357"/>
        <w:rPr>
          <w:rFonts w:cs="Arial"/>
        </w:rPr>
      </w:pPr>
      <w:r w:rsidRPr="00F45FAD">
        <w:rPr>
          <w:rFonts w:cs="Arial"/>
          <w:bCs/>
        </w:rPr>
        <w:t>Advise</w:t>
      </w:r>
      <w:r w:rsidRPr="00F45FAD">
        <w:rPr>
          <w:rFonts w:cs="Arial"/>
        </w:rPr>
        <w:t xml:space="preserve"> the Minister on emerging issues relating to people with disability, and about the content and implementation of the NSW State</w:t>
      </w:r>
      <w:r>
        <w:rPr>
          <w:rFonts w:cs="Arial"/>
        </w:rPr>
        <w:t xml:space="preserve"> Disability Inclusion Plan and Disability Inclusion Action P</w:t>
      </w:r>
      <w:r w:rsidRPr="00F45FAD">
        <w:rPr>
          <w:rFonts w:cs="Arial"/>
        </w:rPr>
        <w:t>lans;</w:t>
      </w:r>
    </w:p>
    <w:p w:rsidR="00CA2D8A" w:rsidRPr="00F45FAD" w:rsidRDefault="00CA2D8A" w:rsidP="00EF372D">
      <w:pPr>
        <w:numPr>
          <w:ilvl w:val="0"/>
          <w:numId w:val="15"/>
        </w:numPr>
        <w:spacing w:before="0" w:after="0"/>
        <w:ind w:left="714" w:hanging="357"/>
        <w:rPr>
          <w:rFonts w:cs="Arial"/>
        </w:rPr>
      </w:pPr>
      <w:r w:rsidRPr="00F45FAD">
        <w:rPr>
          <w:rFonts w:cs="Arial"/>
          <w:bCs/>
        </w:rPr>
        <w:t>Advise</w:t>
      </w:r>
      <w:r w:rsidRPr="00F45FAD">
        <w:rPr>
          <w:rFonts w:cs="Arial"/>
        </w:rPr>
        <w:t xml:space="preserve"> public authorities about the</w:t>
      </w:r>
      <w:r>
        <w:rPr>
          <w:rFonts w:cs="Arial"/>
        </w:rPr>
        <w:t xml:space="preserve"> content and implementation of Disability Inclusion Action P</w:t>
      </w:r>
      <w:r w:rsidRPr="00F45FAD">
        <w:rPr>
          <w:rFonts w:cs="Arial"/>
        </w:rPr>
        <w:t>lans;</w:t>
      </w:r>
    </w:p>
    <w:p w:rsidR="00CA2D8A" w:rsidRPr="00F45FAD" w:rsidRDefault="00CA2D8A" w:rsidP="00EF372D">
      <w:pPr>
        <w:numPr>
          <w:ilvl w:val="0"/>
          <w:numId w:val="15"/>
        </w:numPr>
        <w:spacing w:before="0" w:after="0"/>
        <w:ind w:left="714" w:hanging="357"/>
        <w:rPr>
          <w:rFonts w:cs="Arial"/>
        </w:rPr>
      </w:pPr>
      <w:r w:rsidRPr="00F45FAD">
        <w:rPr>
          <w:rFonts w:cs="Arial"/>
          <w:bCs/>
        </w:rPr>
        <w:t>Promote</w:t>
      </w:r>
      <w:r w:rsidRPr="00F45FAD">
        <w:rPr>
          <w:rFonts w:cs="Arial"/>
        </w:rPr>
        <w:t xml:space="preserve"> the inclusion of people with disability in the community and promote community awareness of matters concerning the interests of people with disability and their families;</w:t>
      </w:r>
    </w:p>
    <w:p w:rsidR="00CA2D8A" w:rsidRPr="00D97393" w:rsidRDefault="00CA2D8A" w:rsidP="00EF372D">
      <w:pPr>
        <w:numPr>
          <w:ilvl w:val="0"/>
          <w:numId w:val="15"/>
        </w:numPr>
        <w:spacing w:before="0" w:after="0"/>
        <w:ind w:left="714" w:hanging="357"/>
        <w:rPr>
          <w:rFonts w:cs="Arial"/>
        </w:rPr>
      </w:pPr>
      <w:r w:rsidRPr="00F45FAD">
        <w:rPr>
          <w:rFonts w:cs="Arial"/>
          <w:bCs/>
        </w:rPr>
        <w:t>Consult</w:t>
      </w:r>
      <w:r w:rsidRPr="00F45FAD">
        <w:rPr>
          <w:rFonts w:cs="Arial"/>
        </w:rPr>
        <w:t xml:space="preserve"> with similar </w:t>
      </w:r>
      <w:r w:rsidRPr="00D97393">
        <w:rPr>
          <w:rFonts w:cs="Arial"/>
        </w:rPr>
        <w:t>councils and bodies, and people with disability; and</w:t>
      </w:r>
    </w:p>
    <w:p w:rsidR="00CA2D8A" w:rsidRPr="00874A08" w:rsidRDefault="00CA2D8A" w:rsidP="00EF372D">
      <w:pPr>
        <w:numPr>
          <w:ilvl w:val="0"/>
          <w:numId w:val="15"/>
        </w:numPr>
        <w:spacing w:before="0" w:after="0"/>
        <w:ind w:left="714" w:hanging="357"/>
        <w:rPr>
          <w:rFonts w:cs="Arial"/>
        </w:rPr>
      </w:pPr>
      <w:r w:rsidRPr="00D97393">
        <w:rPr>
          <w:rFonts w:cs="Arial"/>
          <w:bCs/>
        </w:rPr>
        <w:t>Conduct</w:t>
      </w:r>
      <w:r w:rsidRPr="00D97393">
        <w:rPr>
          <w:rFonts w:cs="Arial"/>
        </w:rPr>
        <w:t xml:space="preserve"> research about matters relating to people with disability.</w:t>
      </w:r>
    </w:p>
    <w:p w:rsidR="00F846CD" w:rsidRDefault="00CA2D8A" w:rsidP="00CA2D8A">
      <w:pPr>
        <w:autoSpaceDE w:val="0"/>
        <w:autoSpaceDN w:val="0"/>
        <w:adjustRightInd w:val="0"/>
        <w:rPr>
          <w:rFonts w:cs="Arial"/>
        </w:rPr>
      </w:pPr>
      <w:r w:rsidRPr="00D97393">
        <w:rPr>
          <w:rFonts w:cs="Arial"/>
        </w:rPr>
        <w:t xml:space="preserve">The </w:t>
      </w:r>
      <w:r w:rsidR="00F846CD">
        <w:rPr>
          <w:rFonts w:cs="Arial"/>
        </w:rPr>
        <w:t>Council has 12 members, including a Chairperson and Deputy Chairperson</w:t>
      </w:r>
      <w:r w:rsidRPr="00D97393">
        <w:rPr>
          <w:rFonts w:cs="Arial"/>
        </w:rPr>
        <w:t xml:space="preserve">. Each member is appointed for up to four years by the Governor of NSW on the recommendation of the Minister for Disability Services. </w:t>
      </w:r>
    </w:p>
    <w:p w:rsidR="00CA2D8A" w:rsidRPr="00D97393" w:rsidRDefault="00CA2D8A" w:rsidP="00CA2D8A">
      <w:pPr>
        <w:autoSpaceDE w:val="0"/>
        <w:autoSpaceDN w:val="0"/>
        <w:adjustRightInd w:val="0"/>
        <w:rPr>
          <w:rFonts w:cs="Arial"/>
        </w:rPr>
      </w:pPr>
      <w:r w:rsidRPr="00D97393">
        <w:rPr>
          <w:rFonts w:cs="Arial"/>
        </w:rPr>
        <w:t>Members are selected to be on Council because:</w:t>
      </w:r>
    </w:p>
    <w:p w:rsidR="00CA2D8A" w:rsidRPr="00D97393" w:rsidRDefault="00CA2D8A" w:rsidP="00EF372D">
      <w:pPr>
        <w:numPr>
          <w:ilvl w:val="0"/>
          <w:numId w:val="16"/>
        </w:numPr>
        <w:autoSpaceDE w:val="0"/>
        <w:autoSpaceDN w:val="0"/>
        <w:adjustRightInd w:val="0"/>
        <w:spacing w:before="0" w:after="0"/>
        <w:contextualSpacing/>
        <w:rPr>
          <w:rFonts w:cs="Arial"/>
        </w:rPr>
      </w:pPr>
      <w:r w:rsidRPr="00D97393">
        <w:rPr>
          <w:rFonts w:cs="Arial"/>
        </w:rPr>
        <w:t xml:space="preserve">They </w:t>
      </w:r>
      <w:r w:rsidR="00F846CD">
        <w:rPr>
          <w:rFonts w:cs="Arial"/>
        </w:rPr>
        <w:t>live with a disability</w:t>
      </w:r>
    </w:p>
    <w:p w:rsidR="00CA2D8A" w:rsidRPr="00D97393" w:rsidRDefault="00CA2D8A" w:rsidP="00EF372D">
      <w:pPr>
        <w:numPr>
          <w:ilvl w:val="0"/>
          <w:numId w:val="16"/>
        </w:numPr>
        <w:autoSpaceDE w:val="0"/>
        <w:autoSpaceDN w:val="0"/>
        <w:adjustRightInd w:val="0"/>
        <w:spacing w:before="0" w:after="0"/>
        <w:contextualSpacing/>
        <w:rPr>
          <w:rFonts w:cs="Arial"/>
        </w:rPr>
      </w:pPr>
      <w:r w:rsidRPr="00D97393">
        <w:rPr>
          <w:rFonts w:cs="Arial"/>
        </w:rPr>
        <w:t xml:space="preserve">They </w:t>
      </w:r>
      <w:r w:rsidR="00F846CD">
        <w:rPr>
          <w:rFonts w:cs="Arial"/>
        </w:rPr>
        <w:t>are an expert on disability</w:t>
      </w:r>
    </w:p>
    <w:p w:rsidR="00CA2D8A" w:rsidRDefault="00CA2D8A" w:rsidP="00EF372D">
      <w:pPr>
        <w:numPr>
          <w:ilvl w:val="0"/>
          <w:numId w:val="16"/>
        </w:numPr>
        <w:autoSpaceDE w:val="0"/>
        <w:autoSpaceDN w:val="0"/>
        <w:adjustRightInd w:val="0"/>
        <w:spacing w:before="0" w:after="0"/>
        <w:contextualSpacing/>
        <w:rPr>
          <w:rFonts w:cs="Arial"/>
        </w:rPr>
      </w:pPr>
      <w:r w:rsidRPr="00D97393">
        <w:rPr>
          <w:rFonts w:cs="Arial"/>
        </w:rPr>
        <w:t>They want to improve the l</w:t>
      </w:r>
      <w:r>
        <w:rPr>
          <w:rFonts w:cs="Arial"/>
        </w:rPr>
        <w:t>ives of people with disability.</w:t>
      </w:r>
    </w:p>
    <w:p w:rsidR="00F846CD" w:rsidRPr="00F846CD" w:rsidRDefault="00F846CD" w:rsidP="00F846CD">
      <w:pPr>
        <w:autoSpaceDE w:val="0"/>
        <w:autoSpaceDN w:val="0"/>
        <w:adjustRightInd w:val="0"/>
        <w:spacing w:before="0" w:after="0"/>
        <w:contextualSpacing/>
      </w:pPr>
    </w:p>
    <w:p w:rsidR="00F846CD" w:rsidRPr="00F846CD" w:rsidRDefault="00F846CD" w:rsidP="00F846CD">
      <w:pPr>
        <w:spacing w:before="0" w:after="0"/>
      </w:pPr>
      <w:r w:rsidRPr="00F846CD">
        <w:t>The Council’s members have a variety of disabilities and backgrounds. Members include people from Aboriginal or cultural and linguistically diverse backgrounds (CALD), young people and also people from rural and regional NSW. In addition, the Council includes members who are carers or family members of people with disability.</w:t>
      </w:r>
    </w:p>
    <w:p w:rsidR="002935BF" w:rsidRDefault="0054490B" w:rsidP="00CA2D8A">
      <w:r>
        <w:t xml:space="preserve">The </w:t>
      </w:r>
      <w:r w:rsidR="00F846CD">
        <w:t>Co</w:t>
      </w:r>
      <w:r w:rsidR="00CA2D8A" w:rsidRPr="00D97393">
        <w:t>uncil is funded</w:t>
      </w:r>
      <w:r w:rsidR="00F846CD">
        <w:t xml:space="preserve"> and resourced</w:t>
      </w:r>
      <w:r w:rsidR="00CA2D8A" w:rsidRPr="00D97393">
        <w:t xml:space="preserve"> by the NSW Government through the NSW Department of Family and Community Services (FACS) and is supported by a</w:t>
      </w:r>
      <w:r>
        <w:t xml:space="preserve"> </w:t>
      </w:r>
      <w:r w:rsidR="00CA2D8A" w:rsidRPr="00D97393">
        <w:t>secretariat team within FACS.</w:t>
      </w:r>
    </w:p>
    <w:p w:rsidR="00AD66AB" w:rsidRDefault="00F846CD" w:rsidP="00AD66AB">
      <w:r>
        <w:t>The Council members meet bi-monthly.</w:t>
      </w:r>
      <w:r w:rsidR="000336FF">
        <w:t xml:space="preserve"> </w:t>
      </w:r>
      <w:bookmarkStart w:id="16" w:name="_Toc436384603"/>
    </w:p>
    <w:p w:rsidR="00AD66AB" w:rsidRDefault="00AD66AB" w:rsidP="00AD66AB"/>
    <w:p w:rsidR="00E0774E" w:rsidRDefault="00E0774E">
      <w:pPr>
        <w:spacing w:before="0" w:after="0"/>
        <w:rPr>
          <w:rStyle w:val="Emphasis"/>
        </w:rPr>
      </w:pPr>
      <w:r>
        <w:rPr>
          <w:rStyle w:val="Emphasis"/>
          <w:i w:val="0"/>
          <w:iCs w:val="0"/>
        </w:rPr>
        <w:br w:type="page"/>
      </w:r>
    </w:p>
    <w:p w:rsidR="004666B8" w:rsidRDefault="002935BF" w:rsidP="00B92A9A">
      <w:pPr>
        <w:pStyle w:val="Heading1"/>
      </w:pPr>
      <w:bookmarkStart w:id="17" w:name="_Toc446329109"/>
      <w:r w:rsidRPr="0073737F">
        <w:rPr>
          <w:rStyle w:val="Emphasis"/>
          <w:i w:val="0"/>
          <w:iCs w:val="0"/>
        </w:rPr>
        <w:lastRenderedPageBreak/>
        <w:t>Executive Summary</w:t>
      </w:r>
      <w:bookmarkEnd w:id="16"/>
      <w:bookmarkEnd w:id="17"/>
    </w:p>
    <w:p w:rsidR="00EA7784" w:rsidRDefault="00EA7784" w:rsidP="00BF735C">
      <w:pPr>
        <w:pStyle w:val="Default"/>
      </w:pPr>
      <w:r>
        <w:t>There is a fundamental need for a decision-making framework that is consistent with Australia’s obligations under the UNCRPD and other human rights instruments and provides a continuum of supports that people can access to assist them to make different decisions at different times. The decision-making</w:t>
      </w:r>
      <w:r w:rsidRPr="00EA2674">
        <w:t xml:space="preserve"> framework </w:t>
      </w:r>
      <w:r>
        <w:t>should</w:t>
      </w:r>
      <w:r w:rsidRPr="00EA2674">
        <w:t xml:space="preserve"> be supported by resources that</w:t>
      </w:r>
      <w:r>
        <w:t xml:space="preserve"> actually</w:t>
      </w:r>
      <w:r w:rsidRPr="00EA2674">
        <w:t xml:space="preserve"> build the capacity of people wi</w:t>
      </w:r>
      <w:r>
        <w:t xml:space="preserve">th disability to make decisions and drive cultural change to increase recognition of the human rights and decision-making abilities of people with disability. </w:t>
      </w:r>
      <w:r w:rsidRPr="00EA2674">
        <w:t xml:space="preserve"> </w:t>
      </w:r>
    </w:p>
    <w:p w:rsidR="00EA7784" w:rsidRDefault="00EA7784" w:rsidP="00BF735C">
      <w:pPr>
        <w:pStyle w:val="Default"/>
      </w:pPr>
    </w:p>
    <w:p w:rsidR="00724677" w:rsidRPr="001451C9" w:rsidRDefault="00724677" w:rsidP="00724677">
      <w:pPr>
        <w:autoSpaceDE w:val="0"/>
        <w:autoSpaceDN w:val="0"/>
        <w:adjustRightInd w:val="0"/>
        <w:spacing w:before="0" w:after="0"/>
        <w:rPr>
          <w:rFonts w:cs="Arial"/>
          <w:color w:val="000000"/>
        </w:rPr>
      </w:pPr>
      <w:r w:rsidRPr="000A4CFF">
        <w:rPr>
          <w:rFonts w:cs="Arial"/>
          <w:color w:val="000000"/>
        </w:rPr>
        <w:t xml:space="preserve">It </w:t>
      </w:r>
      <w:r>
        <w:rPr>
          <w:rFonts w:cs="Arial"/>
          <w:color w:val="000000"/>
        </w:rPr>
        <w:t xml:space="preserve">is </w:t>
      </w:r>
      <w:r w:rsidRPr="000A4CFF">
        <w:rPr>
          <w:rFonts w:cs="Arial"/>
          <w:color w:val="000000"/>
        </w:rPr>
        <w:t xml:space="preserve">imperative to note at this early stage in the review the importance of involving people with disability in the process of determining the future of the guardianship regime in NSW. </w:t>
      </w:r>
      <w:r>
        <w:rPr>
          <w:rFonts w:cs="Arial"/>
          <w:color w:val="000000"/>
        </w:rPr>
        <w:t xml:space="preserve">This is an area where the fundamental human rights of people with disability are at stake.  </w:t>
      </w:r>
      <w:r w:rsidRPr="000A4CFF">
        <w:rPr>
          <w:rFonts w:cs="Arial"/>
          <w:color w:val="000000"/>
        </w:rPr>
        <w:t>Any transition to new regimes must be done carefully, systematically and in consultatio</w:t>
      </w:r>
      <w:r>
        <w:rPr>
          <w:rFonts w:cs="Arial"/>
          <w:color w:val="000000"/>
        </w:rPr>
        <w:t>n with people with a disability.</w:t>
      </w:r>
    </w:p>
    <w:p w:rsidR="00724677" w:rsidRDefault="00724677" w:rsidP="00BF735C">
      <w:pPr>
        <w:pStyle w:val="Default"/>
        <w:rPr>
          <w:lang w:val="en-US"/>
        </w:rPr>
      </w:pPr>
    </w:p>
    <w:p w:rsidR="00BF735C" w:rsidRDefault="00BF735C" w:rsidP="00BF735C">
      <w:pPr>
        <w:pStyle w:val="Default"/>
      </w:pPr>
      <w:r>
        <w:t>The Council has considered recent developments in law, policy and practice in Australia and internationally as well as results from consultations with people with disability about the NSW Guardianship and financial management regime. It has identified issues to consider in the review process and a number of characteristics that any decision-making framework should exemplify in order to enable all people to exercise capacity and make choices about all aspects of their lives.</w:t>
      </w:r>
    </w:p>
    <w:p w:rsidR="00BF735C" w:rsidRDefault="00BF735C" w:rsidP="00BF735C">
      <w:pPr>
        <w:pStyle w:val="Default"/>
      </w:pPr>
    </w:p>
    <w:p w:rsidR="00BF735C" w:rsidRPr="008F1020" w:rsidRDefault="00BF735C" w:rsidP="00BF735C">
      <w:pPr>
        <w:pStyle w:val="Default"/>
      </w:pPr>
      <w:r>
        <w:t>The Council would like t</w:t>
      </w:r>
      <w:r w:rsidR="009825A3">
        <w:t>o see a decision-</w:t>
      </w:r>
      <w:r>
        <w:t>making framework that:</w:t>
      </w:r>
    </w:p>
    <w:p w:rsidR="00BF735C" w:rsidRPr="00D21D4F" w:rsidRDefault="00BF735C" w:rsidP="00BF735C">
      <w:pPr>
        <w:pStyle w:val="Default"/>
        <w:numPr>
          <w:ilvl w:val="0"/>
          <w:numId w:val="42"/>
        </w:numPr>
      </w:pPr>
      <w:r>
        <w:t xml:space="preserve">is consistent with Australia’s obligations under the </w:t>
      </w:r>
      <w:r w:rsidRPr="00D21D4F">
        <w:t>UNCRPD</w:t>
      </w:r>
      <w:r>
        <w:t xml:space="preserve"> and other international human rights instruments</w:t>
      </w:r>
    </w:p>
    <w:p w:rsidR="00BF735C" w:rsidRDefault="00BF735C" w:rsidP="00BF735C">
      <w:pPr>
        <w:pStyle w:val="Default"/>
        <w:numPr>
          <w:ilvl w:val="0"/>
          <w:numId w:val="42"/>
        </w:numPr>
      </w:pPr>
      <w:r>
        <w:t xml:space="preserve">is </w:t>
      </w:r>
      <w:r w:rsidRPr="0088073D">
        <w:t xml:space="preserve">underpinned by more expansive, comprehensive and human rights centred principles than the current general principles in section 4 of the </w:t>
      </w:r>
      <w:r w:rsidRPr="0088073D">
        <w:rPr>
          <w:i/>
        </w:rPr>
        <w:t>Guardianship Act</w:t>
      </w:r>
    </w:p>
    <w:p w:rsidR="00BF735C" w:rsidRDefault="00BF735C" w:rsidP="00BF735C">
      <w:pPr>
        <w:pStyle w:val="Default"/>
        <w:numPr>
          <w:ilvl w:val="0"/>
          <w:numId w:val="42"/>
        </w:numPr>
      </w:pPr>
      <w:r w:rsidRPr="00D21D4F">
        <w:t>recognises and allows for the reality that capacity is decision-specific and can change over time</w:t>
      </w:r>
    </w:p>
    <w:p w:rsidR="00BF735C" w:rsidRPr="00812D56" w:rsidRDefault="00BF735C" w:rsidP="00BF735C">
      <w:pPr>
        <w:pStyle w:val="Default"/>
        <w:numPr>
          <w:ilvl w:val="0"/>
          <w:numId w:val="42"/>
        </w:numPr>
      </w:pPr>
      <w:r>
        <w:t xml:space="preserve">applies on equal terms to all members of the population that may have difficulty making decisions and does not specify impairment or disability as a threshold for application. </w:t>
      </w:r>
    </w:p>
    <w:p w:rsidR="00BF735C" w:rsidRPr="00D21D4F" w:rsidRDefault="00BF735C" w:rsidP="00BF735C">
      <w:pPr>
        <w:pStyle w:val="Default"/>
        <w:numPr>
          <w:ilvl w:val="0"/>
          <w:numId w:val="42"/>
        </w:numPr>
      </w:pPr>
      <w:r w:rsidRPr="00D21D4F">
        <w:t>is clear about the relationship between guardianship law in NSW and the NDIS nominee scheme and other Commonwealth schemes</w:t>
      </w:r>
    </w:p>
    <w:p w:rsidR="00BF735C" w:rsidRPr="00D21D4F" w:rsidRDefault="00BF735C" w:rsidP="00BF735C">
      <w:pPr>
        <w:pStyle w:val="Default"/>
        <w:numPr>
          <w:ilvl w:val="0"/>
          <w:numId w:val="42"/>
        </w:numPr>
      </w:pPr>
      <w:r w:rsidRPr="00D21D4F">
        <w:t>mandates and actively promotes alternatives to substitute decision making, including supported decision making models that are drawn from local and international models of best practice</w:t>
      </w:r>
    </w:p>
    <w:p w:rsidR="00BF735C" w:rsidRDefault="00BF735C" w:rsidP="00BF735C">
      <w:pPr>
        <w:pStyle w:val="Default"/>
        <w:numPr>
          <w:ilvl w:val="0"/>
          <w:numId w:val="42"/>
        </w:numPr>
      </w:pPr>
      <w:r w:rsidRPr="00D21D4F">
        <w:t>does not over-formalise or over-regulate supported decision making arrangements</w:t>
      </w:r>
    </w:p>
    <w:p w:rsidR="00BF735C" w:rsidRPr="000A4CFF" w:rsidRDefault="00BF735C" w:rsidP="00BF735C">
      <w:pPr>
        <w:pStyle w:val="Default"/>
        <w:numPr>
          <w:ilvl w:val="0"/>
          <w:numId w:val="42"/>
        </w:numPr>
      </w:pPr>
      <w:r>
        <w:t>provides a representative decision making scheme that can be implemented where a person does not have capacity to make particular decisions</w:t>
      </w:r>
      <w:r w:rsidRPr="000A4CFF">
        <w:rPr>
          <w:color w:val="222222"/>
        </w:rPr>
        <w:t xml:space="preserve"> and will require the representative to exercise their powers to promote the personal and social wellbeing of the person</w:t>
      </w:r>
    </w:p>
    <w:p w:rsidR="00BF735C" w:rsidRPr="00D21D4F" w:rsidRDefault="00BF735C" w:rsidP="00BF735C">
      <w:pPr>
        <w:pStyle w:val="Default"/>
        <w:numPr>
          <w:ilvl w:val="0"/>
          <w:numId w:val="42"/>
        </w:numPr>
      </w:pPr>
      <w:r w:rsidRPr="000A4CFF">
        <w:rPr>
          <w:color w:val="222222"/>
          <w:sz w:val="14"/>
          <w:szCs w:val="14"/>
        </w:rPr>
        <w:t> </w:t>
      </w:r>
      <w:r w:rsidRPr="00D21D4F">
        <w:t xml:space="preserve">provides mechanisms for ensuring accountability of decision makers appointed in a </w:t>
      </w:r>
      <w:r>
        <w:t xml:space="preserve">representative </w:t>
      </w:r>
      <w:r w:rsidRPr="00D21D4F">
        <w:t>decision making scheme, including monitoring and regular review of orders and decisions</w:t>
      </w:r>
    </w:p>
    <w:p w:rsidR="00BF735C" w:rsidRDefault="00BF735C" w:rsidP="00BF735C">
      <w:pPr>
        <w:pStyle w:val="Default"/>
        <w:numPr>
          <w:ilvl w:val="0"/>
          <w:numId w:val="42"/>
        </w:numPr>
      </w:pPr>
      <w:r w:rsidRPr="00D21D4F">
        <w:t>safeguards people with disability against abuse, neglect and exploitation</w:t>
      </w:r>
      <w:r>
        <w:t>,</w:t>
      </w:r>
    </w:p>
    <w:p w:rsidR="00BF735C" w:rsidRPr="00D21D4F" w:rsidRDefault="00BF735C" w:rsidP="00BF735C">
      <w:pPr>
        <w:pStyle w:val="Default"/>
        <w:numPr>
          <w:ilvl w:val="0"/>
          <w:numId w:val="42"/>
        </w:numPr>
      </w:pPr>
      <w:r>
        <w:t>explicitly addresses the  circumstances in which the use of restrictive practices will be lawful in relation to people with a decision making incapacity</w:t>
      </w:r>
    </w:p>
    <w:p w:rsidR="00C23EC1" w:rsidRDefault="00C23EC1">
      <w:pPr>
        <w:spacing w:before="0" w:after="0"/>
        <w:rPr>
          <w:rStyle w:val="Emphasis"/>
          <w:b/>
          <w:bCs/>
          <w:i w:val="0"/>
          <w:sz w:val="28"/>
          <w:szCs w:val="28"/>
        </w:rPr>
      </w:pPr>
      <w:bookmarkStart w:id="18" w:name="_Toc436384604"/>
    </w:p>
    <w:p w:rsidR="00237066" w:rsidRPr="00D444A3" w:rsidRDefault="008A4C1D" w:rsidP="00D444A3">
      <w:pPr>
        <w:pStyle w:val="Heading1"/>
        <w:rPr>
          <w:rFonts w:cs="Arial"/>
          <w:color w:val="000000"/>
          <w:sz w:val="16"/>
          <w:szCs w:val="16"/>
          <w:shd w:val="clear" w:color="auto" w:fill="FFFFFF"/>
        </w:rPr>
      </w:pPr>
      <w:bookmarkStart w:id="19" w:name="_Toc446329110"/>
      <w:r>
        <w:rPr>
          <w:rStyle w:val="Emphasis"/>
          <w:i w:val="0"/>
        </w:rPr>
        <w:lastRenderedPageBreak/>
        <w:t>List of Re</w:t>
      </w:r>
      <w:r w:rsidR="002935BF" w:rsidRPr="002935BF">
        <w:rPr>
          <w:rStyle w:val="Emphasis"/>
          <w:i w:val="0"/>
        </w:rPr>
        <w:t>commendations</w:t>
      </w:r>
      <w:bookmarkStart w:id="20" w:name="_Toc436384605"/>
      <w:bookmarkEnd w:id="18"/>
      <w:bookmarkEnd w:id="19"/>
    </w:p>
    <w:p w:rsidR="00D444A3" w:rsidRPr="00D444A3" w:rsidRDefault="00D444A3" w:rsidP="00D444A3">
      <w:pPr>
        <w:autoSpaceDE w:val="0"/>
        <w:autoSpaceDN w:val="0"/>
        <w:adjustRightInd w:val="0"/>
        <w:spacing w:before="0" w:after="0"/>
        <w:rPr>
          <w:b/>
          <w:sz w:val="23"/>
          <w:szCs w:val="23"/>
        </w:rPr>
      </w:pPr>
      <w:r w:rsidRPr="00D444A3">
        <w:rPr>
          <w:b/>
          <w:sz w:val="23"/>
          <w:szCs w:val="23"/>
        </w:rPr>
        <w:t xml:space="preserve">Recommendation 1: </w:t>
      </w:r>
      <w:r w:rsidRPr="00D444A3">
        <w:rPr>
          <w:sz w:val="23"/>
          <w:szCs w:val="23"/>
        </w:rPr>
        <w:t>The NSW Law Reform Commission should consult with and actively involve people with disability in the development and implementation of the decision-making framework.</w:t>
      </w:r>
    </w:p>
    <w:p w:rsidR="00D444A3" w:rsidRPr="00D444A3" w:rsidRDefault="00D444A3" w:rsidP="00F23095">
      <w:pPr>
        <w:autoSpaceDE w:val="0"/>
        <w:autoSpaceDN w:val="0"/>
        <w:adjustRightInd w:val="0"/>
        <w:spacing w:before="0" w:after="0"/>
        <w:rPr>
          <w:b/>
          <w:sz w:val="23"/>
          <w:szCs w:val="23"/>
        </w:rPr>
      </w:pPr>
    </w:p>
    <w:p w:rsidR="00D444A3" w:rsidRPr="00D444A3" w:rsidRDefault="00D444A3" w:rsidP="00F23095">
      <w:pPr>
        <w:autoSpaceDE w:val="0"/>
        <w:autoSpaceDN w:val="0"/>
        <w:adjustRightInd w:val="0"/>
        <w:spacing w:before="0" w:after="0"/>
        <w:rPr>
          <w:rFonts w:ascii="Calibri,Italic" w:hAnsi="Calibri,Italic" w:cs="Calibri,Italic"/>
          <w:iCs/>
          <w:sz w:val="23"/>
          <w:szCs w:val="23"/>
          <w:u w:val="single"/>
        </w:rPr>
      </w:pPr>
      <w:r w:rsidRPr="00D444A3">
        <w:rPr>
          <w:b/>
          <w:sz w:val="23"/>
          <w:szCs w:val="23"/>
        </w:rPr>
        <w:t xml:space="preserve">Recommendation 2: </w:t>
      </w:r>
      <w:r w:rsidRPr="00D444A3">
        <w:rPr>
          <w:sz w:val="23"/>
          <w:szCs w:val="23"/>
        </w:rPr>
        <w:t>The decision-making framework should promote mechanisms for consistent data collection about supported and representative or substitute decision-making arrangements.</w:t>
      </w:r>
    </w:p>
    <w:p w:rsidR="00D444A3" w:rsidRPr="00D444A3" w:rsidRDefault="00D444A3" w:rsidP="00F23095">
      <w:pPr>
        <w:autoSpaceDE w:val="0"/>
        <w:autoSpaceDN w:val="0"/>
        <w:adjustRightInd w:val="0"/>
        <w:spacing w:before="0" w:after="0"/>
        <w:rPr>
          <w:b/>
          <w:sz w:val="23"/>
          <w:szCs w:val="23"/>
        </w:rPr>
      </w:pPr>
    </w:p>
    <w:p w:rsidR="00F23095" w:rsidRPr="00D444A3" w:rsidRDefault="00D444A3" w:rsidP="00F23095">
      <w:pPr>
        <w:autoSpaceDE w:val="0"/>
        <w:autoSpaceDN w:val="0"/>
        <w:adjustRightInd w:val="0"/>
        <w:spacing w:before="0" w:after="0"/>
        <w:rPr>
          <w:sz w:val="23"/>
          <w:szCs w:val="23"/>
        </w:rPr>
      </w:pPr>
      <w:r w:rsidRPr="00D444A3">
        <w:rPr>
          <w:b/>
          <w:sz w:val="23"/>
          <w:szCs w:val="23"/>
        </w:rPr>
        <w:t>Recommendation 3</w:t>
      </w:r>
      <w:r w:rsidR="00F23095" w:rsidRPr="00D444A3">
        <w:rPr>
          <w:b/>
          <w:sz w:val="23"/>
          <w:szCs w:val="23"/>
        </w:rPr>
        <w:t xml:space="preserve">: </w:t>
      </w:r>
      <w:r w:rsidR="00F23095" w:rsidRPr="00D444A3">
        <w:rPr>
          <w:sz w:val="23"/>
          <w:szCs w:val="23"/>
        </w:rPr>
        <w:t xml:space="preserve">The decision-making framework should be consistent with Australia’s obligations under the UNCRPD and other international human rights instruments. </w:t>
      </w:r>
    </w:p>
    <w:p w:rsidR="00D444A3" w:rsidRPr="00D444A3" w:rsidRDefault="00D444A3" w:rsidP="00F23095">
      <w:pPr>
        <w:autoSpaceDE w:val="0"/>
        <w:autoSpaceDN w:val="0"/>
        <w:adjustRightInd w:val="0"/>
        <w:spacing w:before="0" w:after="0"/>
        <w:rPr>
          <w:b/>
          <w:sz w:val="23"/>
          <w:szCs w:val="23"/>
        </w:rPr>
      </w:pPr>
    </w:p>
    <w:p w:rsidR="00F23095" w:rsidRPr="00D444A3" w:rsidRDefault="00D444A3" w:rsidP="00F23095">
      <w:pPr>
        <w:autoSpaceDE w:val="0"/>
        <w:autoSpaceDN w:val="0"/>
        <w:adjustRightInd w:val="0"/>
        <w:spacing w:before="0" w:after="0"/>
        <w:rPr>
          <w:b/>
          <w:sz w:val="23"/>
          <w:szCs w:val="23"/>
        </w:rPr>
      </w:pPr>
      <w:r w:rsidRPr="00D444A3">
        <w:rPr>
          <w:b/>
          <w:sz w:val="23"/>
          <w:szCs w:val="23"/>
        </w:rPr>
        <w:t>Recommendation 4</w:t>
      </w:r>
      <w:r w:rsidR="00F23095" w:rsidRPr="00D444A3">
        <w:rPr>
          <w:b/>
          <w:sz w:val="23"/>
          <w:szCs w:val="23"/>
        </w:rPr>
        <w:t xml:space="preserve">: </w:t>
      </w:r>
      <w:r w:rsidR="00F23095" w:rsidRPr="00D444A3">
        <w:rPr>
          <w:sz w:val="23"/>
          <w:szCs w:val="23"/>
        </w:rPr>
        <w:t>The decision-making framework should be underpinned by principles that are more expansive, comprehensive and human rights centred than the current general principles in section 4 of the Guardianship Act.</w:t>
      </w:r>
    </w:p>
    <w:p w:rsidR="00D444A3" w:rsidRPr="00D444A3" w:rsidRDefault="00D444A3" w:rsidP="00F23095">
      <w:pPr>
        <w:autoSpaceDE w:val="0"/>
        <w:autoSpaceDN w:val="0"/>
        <w:adjustRightInd w:val="0"/>
        <w:spacing w:before="0" w:after="0"/>
        <w:rPr>
          <w:b/>
          <w:sz w:val="23"/>
          <w:szCs w:val="23"/>
        </w:rPr>
      </w:pPr>
    </w:p>
    <w:p w:rsidR="00F23095" w:rsidRPr="00D444A3" w:rsidRDefault="00D444A3" w:rsidP="00F23095">
      <w:pPr>
        <w:autoSpaceDE w:val="0"/>
        <w:autoSpaceDN w:val="0"/>
        <w:adjustRightInd w:val="0"/>
        <w:spacing w:before="0" w:after="0"/>
        <w:rPr>
          <w:sz w:val="23"/>
          <w:szCs w:val="23"/>
        </w:rPr>
      </w:pPr>
      <w:r w:rsidRPr="00D444A3">
        <w:rPr>
          <w:b/>
          <w:sz w:val="23"/>
          <w:szCs w:val="23"/>
        </w:rPr>
        <w:t>Recommendation 5</w:t>
      </w:r>
      <w:r w:rsidR="00F23095" w:rsidRPr="00D444A3">
        <w:rPr>
          <w:b/>
          <w:sz w:val="23"/>
          <w:szCs w:val="23"/>
        </w:rPr>
        <w:t xml:space="preserve">: </w:t>
      </w:r>
      <w:r w:rsidR="00F23095" w:rsidRPr="00D444A3">
        <w:rPr>
          <w:sz w:val="23"/>
          <w:szCs w:val="23"/>
        </w:rPr>
        <w:t>The decision-making framework should establish principles and a process for assessing decision-making ability that allows for the reality that decision-making ability is decision-specific and can change over time.</w:t>
      </w:r>
    </w:p>
    <w:p w:rsidR="00D444A3" w:rsidRPr="00D444A3" w:rsidRDefault="00D444A3" w:rsidP="00F23095">
      <w:pPr>
        <w:autoSpaceDE w:val="0"/>
        <w:autoSpaceDN w:val="0"/>
        <w:adjustRightInd w:val="0"/>
        <w:spacing w:before="0" w:after="0"/>
        <w:rPr>
          <w:b/>
          <w:sz w:val="23"/>
          <w:szCs w:val="23"/>
        </w:rPr>
      </w:pPr>
    </w:p>
    <w:p w:rsidR="00F23095" w:rsidRPr="00D444A3" w:rsidRDefault="00D444A3" w:rsidP="00F23095">
      <w:pPr>
        <w:autoSpaceDE w:val="0"/>
        <w:autoSpaceDN w:val="0"/>
        <w:adjustRightInd w:val="0"/>
        <w:spacing w:before="0" w:after="0"/>
        <w:rPr>
          <w:sz w:val="23"/>
          <w:szCs w:val="23"/>
        </w:rPr>
      </w:pPr>
      <w:r w:rsidRPr="00D444A3">
        <w:rPr>
          <w:b/>
          <w:sz w:val="23"/>
          <w:szCs w:val="23"/>
        </w:rPr>
        <w:t>Recommendation 6</w:t>
      </w:r>
      <w:r w:rsidR="00F23095" w:rsidRPr="00D444A3">
        <w:rPr>
          <w:b/>
          <w:sz w:val="23"/>
          <w:szCs w:val="23"/>
        </w:rPr>
        <w:t xml:space="preserve">: </w:t>
      </w:r>
      <w:r w:rsidR="00F23095" w:rsidRPr="00D444A3">
        <w:rPr>
          <w:sz w:val="23"/>
          <w:szCs w:val="23"/>
        </w:rPr>
        <w:t>The decision-making framework should use the term “decision-making ability” rather than disability or decision-making capacity.</w:t>
      </w:r>
    </w:p>
    <w:p w:rsidR="00D444A3" w:rsidRPr="00D444A3" w:rsidRDefault="00D444A3" w:rsidP="00F23095">
      <w:pPr>
        <w:autoSpaceDE w:val="0"/>
        <w:autoSpaceDN w:val="0"/>
        <w:adjustRightInd w:val="0"/>
        <w:spacing w:before="0" w:after="0"/>
        <w:rPr>
          <w:b/>
          <w:sz w:val="23"/>
          <w:szCs w:val="23"/>
        </w:rPr>
      </w:pPr>
    </w:p>
    <w:p w:rsidR="00F23095" w:rsidRPr="00D444A3" w:rsidRDefault="00D444A3" w:rsidP="00F23095">
      <w:pPr>
        <w:autoSpaceDE w:val="0"/>
        <w:autoSpaceDN w:val="0"/>
        <w:adjustRightInd w:val="0"/>
        <w:spacing w:before="0" w:after="0"/>
        <w:rPr>
          <w:rFonts w:ascii="Times New Roman" w:hAnsi="Times New Roman"/>
          <w:sz w:val="23"/>
          <w:szCs w:val="23"/>
        </w:rPr>
      </w:pPr>
      <w:r w:rsidRPr="00D444A3">
        <w:rPr>
          <w:b/>
          <w:sz w:val="23"/>
          <w:szCs w:val="23"/>
        </w:rPr>
        <w:t>Recommendation 7</w:t>
      </w:r>
      <w:r w:rsidR="00F23095" w:rsidRPr="00D444A3">
        <w:rPr>
          <w:b/>
          <w:sz w:val="23"/>
          <w:szCs w:val="23"/>
        </w:rPr>
        <w:t xml:space="preserve">: </w:t>
      </w:r>
      <w:r w:rsidR="00F23095" w:rsidRPr="00D444A3">
        <w:rPr>
          <w:sz w:val="23"/>
          <w:szCs w:val="23"/>
        </w:rPr>
        <w:t>The decision-making framework should clearly outline how it interacts with and relates to the NDIS nominee scheme and other Commonwealth schemes.</w:t>
      </w:r>
    </w:p>
    <w:p w:rsidR="00D444A3" w:rsidRPr="00D444A3" w:rsidRDefault="00D444A3" w:rsidP="00F23095">
      <w:pPr>
        <w:autoSpaceDE w:val="0"/>
        <w:autoSpaceDN w:val="0"/>
        <w:adjustRightInd w:val="0"/>
        <w:spacing w:before="0" w:after="0"/>
        <w:rPr>
          <w:b/>
          <w:sz w:val="23"/>
          <w:szCs w:val="23"/>
        </w:rPr>
      </w:pPr>
    </w:p>
    <w:p w:rsidR="00F23095" w:rsidRPr="00D444A3" w:rsidRDefault="00D444A3" w:rsidP="00F23095">
      <w:pPr>
        <w:autoSpaceDE w:val="0"/>
        <w:autoSpaceDN w:val="0"/>
        <w:adjustRightInd w:val="0"/>
        <w:spacing w:before="0" w:after="0"/>
        <w:rPr>
          <w:b/>
          <w:sz w:val="23"/>
          <w:szCs w:val="23"/>
        </w:rPr>
      </w:pPr>
      <w:r w:rsidRPr="00D444A3">
        <w:rPr>
          <w:b/>
          <w:sz w:val="23"/>
          <w:szCs w:val="23"/>
        </w:rPr>
        <w:t>Recommendation 8</w:t>
      </w:r>
      <w:r w:rsidR="00F23095" w:rsidRPr="00D444A3">
        <w:rPr>
          <w:b/>
          <w:sz w:val="23"/>
          <w:szCs w:val="23"/>
        </w:rPr>
        <w:t xml:space="preserve">: </w:t>
      </w:r>
      <w:r w:rsidR="00F23095" w:rsidRPr="00D444A3">
        <w:rPr>
          <w:sz w:val="23"/>
          <w:szCs w:val="23"/>
        </w:rPr>
        <w:t>The decision-making framework should provide and promote alternatives to substitute decision-making, including supported decision-making models that are drawn from local and international models of best practice.</w:t>
      </w:r>
    </w:p>
    <w:p w:rsidR="00D444A3" w:rsidRPr="00D444A3" w:rsidRDefault="00D444A3" w:rsidP="00F23095">
      <w:pPr>
        <w:autoSpaceDE w:val="0"/>
        <w:autoSpaceDN w:val="0"/>
        <w:adjustRightInd w:val="0"/>
        <w:spacing w:before="0" w:after="0"/>
        <w:rPr>
          <w:b/>
          <w:sz w:val="23"/>
          <w:szCs w:val="23"/>
        </w:rPr>
      </w:pPr>
    </w:p>
    <w:p w:rsidR="00F23095" w:rsidRPr="00D444A3" w:rsidRDefault="00F23095" w:rsidP="00F23095">
      <w:pPr>
        <w:autoSpaceDE w:val="0"/>
        <w:autoSpaceDN w:val="0"/>
        <w:adjustRightInd w:val="0"/>
        <w:spacing w:before="0" w:after="0"/>
        <w:rPr>
          <w:b/>
          <w:sz w:val="23"/>
          <w:szCs w:val="23"/>
        </w:rPr>
      </w:pPr>
      <w:r w:rsidRPr="00D444A3">
        <w:rPr>
          <w:b/>
          <w:sz w:val="23"/>
          <w:szCs w:val="23"/>
        </w:rPr>
        <w:t>Recommendatio</w:t>
      </w:r>
      <w:r w:rsidR="00D444A3" w:rsidRPr="00D444A3">
        <w:rPr>
          <w:b/>
          <w:sz w:val="23"/>
          <w:szCs w:val="23"/>
        </w:rPr>
        <w:t>n 9</w:t>
      </w:r>
      <w:r w:rsidRPr="00D444A3">
        <w:rPr>
          <w:b/>
          <w:sz w:val="23"/>
          <w:szCs w:val="23"/>
        </w:rPr>
        <w:t xml:space="preserve">: </w:t>
      </w:r>
      <w:r w:rsidRPr="00D444A3">
        <w:rPr>
          <w:sz w:val="23"/>
          <w:szCs w:val="23"/>
        </w:rPr>
        <w:t>The decision-making framework should strike the appropriate balance between allowing informal arrangements that give control to the person being supported to exist and providing legal acknowledgement of and certainty for third parties about the role of supporters.</w:t>
      </w:r>
    </w:p>
    <w:p w:rsidR="00D444A3" w:rsidRPr="00D444A3" w:rsidRDefault="00D444A3" w:rsidP="00F23095">
      <w:pPr>
        <w:autoSpaceDE w:val="0"/>
        <w:autoSpaceDN w:val="0"/>
        <w:adjustRightInd w:val="0"/>
        <w:spacing w:before="0" w:after="0"/>
        <w:rPr>
          <w:b/>
          <w:sz w:val="23"/>
          <w:szCs w:val="23"/>
        </w:rPr>
      </w:pPr>
    </w:p>
    <w:p w:rsidR="00F23095" w:rsidRPr="00D444A3" w:rsidRDefault="00D444A3" w:rsidP="00F23095">
      <w:pPr>
        <w:autoSpaceDE w:val="0"/>
        <w:autoSpaceDN w:val="0"/>
        <w:adjustRightInd w:val="0"/>
        <w:spacing w:before="0" w:after="0"/>
        <w:rPr>
          <w:b/>
          <w:sz w:val="23"/>
          <w:szCs w:val="23"/>
        </w:rPr>
      </w:pPr>
      <w:r w:rsidRPr="00D444A3">
        <w:rPr>
          <w:b/>
          <w:sz w:val="23"/>
          <w:szCs w:val="23"/>
        </w:rPr>
        <w:t>Recommendation 10</w:t>
      </w:r>
      <w:r w:rsidR="00F23095" w:rsidRPr="00D444A3">
        <w:rPr>
          <w:b/>
          <w:sz w:val="23"/>
          <w:szCs w:val="23"/>
        </w:rPr>
        <w:t xml:space="preserve">: </w:t>
      </w:r>
      <w:r w:rsidR="00F23095" w:rsidRPr="00D444A3">
        <w:rPr>
          <w:sz w:val="23"/>
          <w:szCs w:val="23"/>
        </w:rPr>
        <w:t>The decision-making framework should include resources that build the decision-making ability of people with disability and drive cultural change, including independent community based individual advocacy, education about human rights of people with disability and services that support people with disability to exercise their rights and make decisions for themselves.</w:t>
      </w:r>
    </w:p>
    <w:p w:rsidR="00D444A3" w:rsidRPr="00D444A3" w:rsidRDefault="00D444A3" w:rsidP="00F23095">
      <w:pPr>
        <w:autoSpaceDE w:val="0"/>
        <w:autoSpaceDN w:val="0"/>
        <w:adjustRightInd w:val="0"/>
        <w:spacing w:before="0" w:after="0"/>
        <w:rPr>
          <w:b/>
          <w:sz w:val="23"/>
          <w:szCs w:val="23"/>
        </w:rPr>
      </w:pPr>
    </w:p>
    <w:p w:rsidR="00F23095" w:rsidRPr="00D444A3" w:rsidRDefault="00D444A3" w:rsidP="00F23095">
      <w:pPr>
        <w:autoSpaceDE w:val="0"/>
        <w:autoSpaceDN w:val="0"/>
        <w:adjustRightInd w:val="0"/>
        <w:spacing w:before="0" w:after="0"/>
        <w:rPr>
          <w:b/>
          <w:sz w:val="23"/>
          <w:szCs w:val="23"/>
        </w:rPr>
      </w:pPr>
      <w:r w:rsidRPr="00D444A3">
        <w:rPr>
          <w:b/>
          <w:sz w:val="23"/>
          <w:szCs w:val="23"/>
        </w:rPr>
        <w:t>Recommendation 11</w:t>
      </w:r>
      <w:r w:rsidR="00F23095" w:rsidRPr="00D444A3">
        <w:rPr>
          <w:b/>
          <w:sz w:val="23"/>
          <w:szCs w:val="23"/>
        </w:rPr>
        <w:t xml:space="preserve">: </w:t>
      </w:r>
      <w:r w:rsidR="00F23095" w:rsidRPr="00D444A3">
        <w:rPr>
          <w:sz w:val="23"/>
          <w:szCs w:val="23"/>
        </w:rPr>
        <w:t>The decision-making framework should include</w:t>
      </w:r>
      <w:r w:rsidR="008D75E3" w:rsidRPr="00D444A3">
        <w:rPr>
          <w:sz w:val="23"/>
          <w:szCs w:val="23"/>
        </w:rPr>
        <w:t xml:space="preserve"> a</w:t>
      </w:r>
      <w:r w:rsidR="00F23095" w:rsidRPr="00D444A3">
        <w:rPr>
          <w:sz w:val="23"/>
          <w:szCs w:val="23"/>
        </w:rPr>
        <w:t xml:space="preserve"> representative decision-making scheme that will require the representative to exercise their powers to promote the personal and social wellbeing of the person</w:t>
      </w:r>
      <w:r w:rsidR="008D75E3" w:rsidRPr="00D444A3">
        <w:rPr>
          <w:sz w:val="23"/>
          <w:szCs w:val="23"/>
        </w:rPr>
        <w:t xml:space="preserve"> and can be implemented in limited circumstances where a person does not have the ability to make particular decisions.</w:t>
      </w:r>
    </w:p>
    <w:p w:rsidR="00D444A3" w:rsidRPr="00D444A3" w:rsidRDefault="00D444A3" w:rsidP="00F23095">
      <w:pPr>
        <w:autoSpaceDE w:val="0"/>
        <w:autoSpaceDN w:val="0"/>
        <w:adjustRightInd w:val="0"/>
        <w:spacing w:before="0" w:after="0"/>
        <w:rPr>
          <w:b/>
          <w:sz w:val="23"/>
          <w:szCs w:val="23"/>
        </w:rPr>
      </w:pPr>
    </w:p>
    <w:p w:rsidR="00F23095" w:rsidRPr="00D444A3" w:rsidRDefault="00D444A3" w:rsidP="00F23095">
      <w:pPr>
        <w:autoSpaceDE w:val="0"/>
        <w:autoSpaceDN w:val="0"/>
        <w:adjustRightInd w:val="0"/>
        <w:spacing w:before="0" w:after="0"/>
        <w:rPr>
          <w:b/>
          <w:sz w:val="23"/>
          <w:szCs w:val="23"/>
        </w:rPr>
      </w:pPr>
      <w:r w:rsidRPr="00D444A3">
        <w:rPr>
          <w:b/>
          <w:sz w:val="23"/>
          <w:szCs w:val="23"/>
        </w:rPr>
        <w:t>Recommendation 12</w:t>
      </w:r>
      <w:r w:rsidR="00F23095" w:rsidRPr="00D444A3">
        <w:rPr>
          <w:b/>
          <w:sz w:val="23"/>
          <w:szCs w:val="23"/>
        </w:rPr>
        <w:t xml:space="preserve">: </w:t>
      </w:r>
      <w:r w:rsidR="00F23095" w:rsidRPr="00D444A3">
        <w:rPr>
          <w:sz w:val="23"/>
          <w:szCs w:val="23"/>
        </w:rPr>
        <w:t>The decision-making framework should include safeguards against abuse, neglect and exploitation of people with disability.</w:t>
      </w:r>
    </w:p>
    <w:p w:rsidR="00F23095" w:rsidRPr="00D444A3" w:rsidRDefault="00D444A3" w:rsidP="00F23095">
      <w:pPr>
        <w:autoSpaceDE w:val="0"/>
        <w:autoSpaceDN w:val="0"/>
        <w:adjustRightInd w:val="0"/>
        <w:spacing w:before="0" w:after="0"/>
        <w:rPr>
          <w:rFonts w:ascii="Calibri,Italic" w:hAnsi="Calibri,Italic" w:cs="Calibri,Italic"/>
          <w:iCs/>
          <w:sz w:val="23"/>
          <w:szCs w:val="23"/>
          <w:u w:val="single"/>
        </w:rPr>
      </w:pPr>
      <w:r w:rsidRPr="00D444A3">
        <w:rPr>
          <w:b/>
          <w:sz w:val="23"/>
          <w:szCs w:val="23"/>
        </w:rPr>
        <w:t>Recommendation 13</w:t>
      </w:r>
      <w:r w:rsidR="00F23095" w:rsidRPr="00D444A3">
        <w:rPr>
          <w:b/>
          <w:sz w:val="23"/>
          <w:szCs w:val="23"/>
        </w:rPr>
        <w:t xml:space="preserve">: </w:t>
      </w:r>
      <w:r w:rsidR="00F23095" w:rsidRPr="00D444A3">
        <w:rPr>
          <w:sz w:val="23"/>
          <w:szCs w:val="23"/>
        </w:rPr>
        <w:t>The decision-making framework should explicitly address the circumstances in which the use of restrictive practices will be lawful in relation to people with impaired decision-making ability and establish an independent office to regulate the use of restrictive practices.</w:t>
      </w:r>
    </w:p>
    <w:p w:rsidR="00B64390" w:rsidRPr="00F05AA7" w:rsidRDefault="00874A08" w:rsidP="00F05AA7">
      <w:pPr>
        <w:pStyle w:val="Heading1"/>
      </w:pPr>
      <w:bookmarkStart w:id="21" w:name="_Toc446329111"/>
      <w:r>
        <w:lastRenderedPageBreak/>
        <w:t>Introduction</w:t>
      </w:r>
      <w:bookmarkEnd w:id="20"/>
      <w:bookmarkEnd w:id="21"/>
    </w:p>
    <w:p w:rsidR="00883649" w:rsidRDefault="009A1E3C" w:rsidP="00DA0160">
      <w:pPr>
        <w:pStyle w:val="Default"/>
        <w:rPr>
          <w:lang w:val="en-US"/>
        </w:rPr>
      </w:pPr>
      <w:r>
        <w:t xml:space="preserve">The </w:t>
      </w:r>
      <w:r w:rsidR="00874A08" w:rsidRPr="006B7010">
        <w:t>Council welcomes the opportunity to make a</w:t>
      </w:r>
      <w:r w:rsidR="00076741">
        <w:t xml:space="preserve"> preliminary</w:t>
      </w:r>
      <w:r w:rsidR="00874A08" w:rsidRPr="006B7010">
        <w:t xml:space="preserve"> submission to </w:t>
      </w:r>
      <w:r w:rsidR="00F846CD">
        <w:t xml:space="preserve">the </w:t>
      </w:r>
      <w:r w:rsidR="00076741">
        <w:rPr>
          <w:lang w:val="en-US"/>
        </w:rPr>
        <w:t xml:space="preserve">review of the </w:t>
      </w:r>
      <w:r w:rsidR="00076741">
        <w:rPr>
          <w:i/>
          <w:lang w:val="en-US"/>
        </w:rPr>
        <w:t xml:space="preserve">Guardianship Act </w:t>
      </w:r>
      <w:r w:rsidR="00076741" w:rsidRPr="00076741">
        <w:rPr>
          <w:lang w:val="en-US"/>
        </w:rPr>
        <w:t>1987</w:t>
      </w:r>
      <w:r w:rsidR="00F0626E">
        <w:rPr>
          <w:lang w:val="en-US"/>
        </w:rPr>
        <w:t xml:space="preserve"> (The </w:t>
      </w:r>
      <w:r w:rsidR="00F0626E" w:rsidRPr="00F0626E">
        <w:rPr>
          <w:i/>
          <w:lang w:val="en-US"/>
        </w:rPr>
        <w:t>Guardianship Act</w:t>
      </w:r>
      <w:r w:rsidR="00F0626E">
        <w:rPr>
          <w:lang w:val="en-US"/>
        </w:rPr>
        <w:t>)</w:t>
      </w:r>
      <w:r w:rsidR="001C3532">
        <w:rPr>
          <w:lang w:val="en-US"/>
        </w:rPr>
        <w:t xml:space="preserve"> and looks forward to making further more detailed submissions during the various stages of this review.</w:t>
      </w:r>
    </w:p>
    <w:p w:rsidR="00883649" w:rsidRDefault="00883649" w:rsidP="00DA0160">
      <w:pPr>
        <w:pStyle w:val="Default"/>
        <w:rPr>
          <w:lang w:val="en-US"/>
        </w:rPr>
      </w:pPr>
    </w:p>
    <w:p w:rsidR="009229D0" w:rsidRDefault="00EA2674" w:rsidP="00DA0160">
      <w:pPr>
        <w:pStyle w:val="Default"/>
        <w:rPr>
          <w:lang w:val="en-US"/>
        </w:rPr>
      </w:pPr>
      <w:r>
        <w:rPr>
          <w:lang w:val="en-US"/>
        </w:rPr>
        <w:t>In 2014 the Disability Council consulted widely with people with disability about the NSW National Disability Strategy Implementation Plan (2012-2014).</w:t>
      </w:r>
      <w:r>
        <w:rPr>
          <w:rStyle w:val="FootnoteReference"/>
          <w:lang w:val="en-US"/>
        </w:rPr>
        <w:footnoteReference w:id="1"/>
      </w:r>
      <w:r>
        <w:rPr>
          <w:lang w:val="en-US"/>
        </w:rPr>
        <w:t xml:space="preserve"> In these consultations, concerns were indicating a </w:t>
      </w:r>
      <w:r w:rsidR="009229D0">
        <w:rPr>
          <w:lang w:val="en-US"/>
        </w:rPr>
        <w:t xml:space="preserve">degree </w:t>
      </w:r>
      <w:r>
        <w:rPr>
          <w:lang w:val="en-US"/>
        </w:rPr>
        <w:t xml:space="preserve">of dissatisfaction with the Guardianship system. It was felt that </w:t>
      </w:r>
      <w:r w:rsidR="009229D0">
        <w:rPr>
          <w:lang w:val="en-US"/>
        </w:rPr>
        <w:t>some aspects of the system were</w:t>
      </w:r>
      <w:r w:rsidR="00840ACF">
        <w:rPr>
          <w:lang w:val="en-US"/>
        </w:rPr>
        <w:t xml:space="preserve"> confusing, </w:t>
      </w:r>
      <w:proofErr w:type="spellStart"/>
      <w:r w:rsidR="00C57255">
        <w:rPr>
          <w:lang w:val="en-US"/>
        </w:rPr>
        <w:t>demoralising</w:t>
      </w:r>
      <w:proofErr w:type="spellEnd"/>
      <w:r w:rsidR="00840ACF">
        <w:rPr>
          <w:lang w:val="en-US"/>
        </w:rPr>
        <w:t xml:space="preserve"> and belittling and </w:t>
      </w:r>
      <w:r w:rsidR="009229D0">
        <w:rPr>
          <w:lang w:val="en-US"/>
        </w:rPr>
        <w:t>were</w:t>
      </w:r>
      <w:r>
        <w:rPr>
          <w:lang w:val="en-US"/>
        </w:rPr>
        <w:t xml:space="preserve"> not in sync with the philosophical framework of the United Nations Convention on the Rights of Persons with Disabilities (UNCRPD)</w:t>
      </w:r>
      <w:r w:rsidR="00840ACF">
        <w:rPr>
          <w:lang w:val="en-US"/>
        </w:rPr>
        <w:t>.</w:t>
      </w:r>
      <w:r w:rsidR="008D75E3">
        <w:rPr>
          <w:lang w:val="en-US"/>
        </w:rPr>
        <w:t xml:space="preserve"> In short, concerns</w:t>
      </w:r>
      <w:r w:rsidR="009229D0">
        <w:rPr>
          <w:lang w:val="en-US"/>
        </w:rPr>
        <w:t xml:space="preserve"> reflected the prevailing cultural norm of low expectations of the capacity of people with disability to make decisions about how they would like to live their lives.</w:t>
      </w:r>
    </w:p>
    <w:p w:rsidR="00EA2674" w:rsidRDefault="00EA2674" w:rsidP="00DA0160">
      <w:pPr>
        <w:pStyle w:val="Default"/>
        <w:rPr>
          <w:lang w:val="en-US"/>
        </w:rPr>
      </w:pPr>
    </w:p>
    <w:p w:rsidR="00A775AB" w:rsidRDefault="00EA2674" w:rsidP="007823D0">
      <w:pPr>
        <w:pStyle w:val="Default"/>
        <w:rPr>
          <w:lang w:val="en-US"/>
        </w:rPr>
      </w:pPr>
      <w:r>
        <w:rPr>
          <w:lang w:val="en-US"/>
        </w:rPr>
        <w:t>This review</w:t>
      </w:r>
      <w:r w:rsidR="009847BA">
        <w:rPr>
          <w:lang w:val="en-US"/>
        </w:rPr>
        <w:t xml:space="preserve"> should</w:t>
      </w:r>
      <w:r w:rsidR="00A249A5">
        <w:rPr>
          <w:lang w:val="en-US"/>
        </w:rPr>
        <w:t xml:space="preserve"> </w:t>
      </w:r>
      <w:r w:rsidR="002B018A">
        <w:rPr>
          <w:lang w:val="en-US"/>
        </w:rPr>
        <w:t xml:space="preserve">actively consult with people with disability and their representative organisations and </w:t>
      </w:r>
      <w:r w:rsidR="002957A4">
        <w:rPr>
          <w:lang w:val="en-US"/>
        </w:rPr>
        <w:t>consider what legislative change</w:t>
      </w:r>
      <w:r w:rsidR="00754C12">
        <w:rPr>
          <w:lang w:val="en-US"/>
        </w:rPr>
        <w:t>s</w:t>
      </w:r>
      <w:r w:rsidR="002957A4">
        <w:rPr>
          <w:lang w:val="en-US"/>
        </w:rPr>
        <w:t xml:space="preserve"> and</w:t>
      </w:r>
      <w:r w:rsidR="00754C12">
        <w:rPr>
          <w:lang w:val="en-US"/>
        </w:rPr>
        <w:t xml:space="preserve"> </w:t>
      </w:r>
      <w:r w:rsidR="008D75E3">
        <w:rPr>
          <w:lang w:val="en-US"/>
        </w:rPr>
        <w:t>resources are required</w:t>
      </w:r>
      <w:r w:rsidR="002957A4">
        <w:rPr>
          <w:lang w:val="en-US"/>
        </w:rPr>
        <w:t xml:space="preserve"> to enable people with disability</w:t>
      </w:r>
      <w:r w:rsidR="00754C12">
        <w:rPr>
          <w:lang w:val="en-US"/>
        </w:rPr>
        <w:t xml:space="preserve"> to make decisions and exer</w:t>
      </w:r>
      <w:r w:rsidR="008D75E3">
        <w:rPr>
          <w:lang w:val="en-US"/>
        </w:rPr>
        <w:t>cise control over their lives.</w:t>
      </w:r>
    </w:p>
    <w:p w:rsidR="00A775AB" w:rsidRDefault="00A775AB" w:rsidP="007823D0">
      <w:pPr>
        <w:pStyle w:val="Default"/>
        <w:rPr>
          <w:lang w:val="en-US"/>
        </w:rPr>
      </w:pPr>
    </w:p>
    <w:p w:rsidR="002B018A" w:rsidRPr="002B018A" w:rsidRDefault="00A775AB" w:rsidP="007823D0">
      <w:pPr>
        <w:pStyle w:val="Default"/>
      </w:pPr>
      <w:r>
        <w:rPr>
          <w:lang w:val="en-US"/>
        </w:rPr>
        <w:t xml:space="preserve">The review of the </w:t>
      </w:r>
      <w:r>
        <w:rPr>
          <w:i/>
          <w:lang w:val="en-US"/>
        </w:rPr>
        <w:t>Guardianship Act</w:t>
      </w:r>
      <w:r>
        <w:rPr>
          <w:lang w:val="en-US"/>
        </w:rPr>
        <w:t xml:space="preserve"> </w:t>
      </w:r>
      <w:r w:rsidR="00EA2674">
        <w:rPr>
          <w:lang w:val="en-US"/>
        </w:rPr>
        <w:t xml:space="preserve">comes at a critical time for the rights of people with disability. </w:t>
      </w:r>
      <w:r w:rsidR="00B7356E">
        <w:rPr>
          <w:lang w:val="en-US"/>
        </w:rPr>
        <w:t xml:space="preserve">Under the </w:t>
      </w:r>
      <w:r w:rsidR="000937F1">
        <w:rPr>
          <w:lang w:val="en-US"/>
        </w:rPr>
        <w:t>National Dis</w:t>
      </w:r>
      <w:r w:rsidR="00B7356E">
        <w:rPr>
          <w:lang w:val="en-US"/>
        </w:rPr>
        <w:t>ability Insurance Scheme (NDIS), people with disability</w:t>
      </w:r>
      <w:r w:rsidR="001A6EFD">
        <w:rPr>
          <w:lang w:val="en-US"/>
        </w:rPr>
        <w:t>,</w:t>
      </w:r>
      <w:r w:rsidR="001A6EFD" w:rsidRPr="001A6EFD">
        <w:rPr>
          <w:lang w:val="en-US"/>
        </w:rPr>
        <w:t xml:space="preserve"> </w:t>
      </w:r>
      <w:r w:rsidR="001A6EFD">
        <w:rPr>
          <w:lang w:val="en-US"/>
        </w:rPr>
        <w:t>many for the first time,</w:t>
      </w:r>
      <w:r w:rsidR="00B7356E">
        <w:rPr>
          <w:lang w:val="en-US"/>
        </w:rPr>
        <w:t xml:space="preserve"> will </w:t>
      </w:r>
      <w:r w:rsidR="00B7356E">
        <w:t>have choice and control over services and supports they need to make progress towards their goals.</w:t>
      </w:r>
      <w:r w:rsidR="00E144F8">
        <w:t xml:space="preserve"> </w:t>
      </w:r>
      <w:r w:rsidR="00754C12">
        <w:t>It is more important than ever that</w:t>
      </w:r>
      <w:r w:rsidR="00FA52D0">
        <w:t xml:space="preserve"> the </w:t>
      </w:r>
      <w:r w:rsidR="004E45F0">
        <w:t>decision-making</w:t>
      </w:r>
      <w:r w:rsidR="00FA52D0">
        <w:t xml:space="preserve"> framework</w:t>
      </w:r>
      <w:r w:rsidR="009847BA">
        <w:t xml:space="preserve"> reflect</w:t>
      </w:r>
      <w:r w:rsidR="00FA52D0">
        <w:t>s</w:t>
      </w:r>
      <w:r w:rsidR="009847BA">
        <w:t xml:space="preserve"> and, as much as possible, </w:t>
      </w:r>
      <w:r w:rsidR="007D0993">
        <w:t>upholds</w:t>
      </w:r>
      <w:r w:rsidR="00E23ECF">
        <w:t xml:space="preserve"> the human rights of people with disability and facilitate</w:t>
      </w:r>
      <w:r w:rsidR="008D75E3">
        <w:t>s</w:t>
      </w:r>
      <w:r w:rsidR="00E23ECF">
        <w:t xml:space="preserve"> self determination.  </w:t>
      </w:r>
    </w:p>
    <w:p w:rsidR="008F1020" w:rsidRDefault="008F1020" w:rsidP="007823D0">
      <w:pPr>
        <w:pStyle w:val="Default"/>
      </w:pPr>
    </w:p>
    <w:p w:rsidR="00563E3F" w:rsidRDefault="00E23ECF" w:rsidP="007823D0">
      <w:pPr>
        <w:pStyle w:val="Default"/>
      </w:pPr>
      <w:r>
        <w:t>The Council has considered</w:t>
      </w:r>
      <w:r w:rsidR="00883649">
        <w:t xml:space="preserve"> recent developments in law, policy and practice in Australia and internationally</w:t>
      </w:r>
      <w:r w:rsidR="0065242D">
        <w:t xml:space="preserve"> as well as results from consultations with people with disability about the NSW Guardianship</w:t>
      </w:r>
      <w:r w:rsidR="00F544A8">
        <w:t xml:space="preserve"> and financial management regime</w:t>
      </w:r>
      <w:r w:rsidR="008D75E3">
        <w:t>. It</w:t>
      </w:r>
      <w:r w:rsidR="00F544A8">
        <w:t xml:space="preserve"> </w:t>
      </w:r>
      <w:r w:rsidR="0065242D">
        <w:t>has i</w:t>
      </w:r>
      <w:r w:rsidR="00883649">
        <w:t>dentified</w:t>
      </w:r>
      <w:r w:rsidR="00C23EC1">
        <w:t xml:space="preserve"> issues to consider in the review process and</w:t>
      </w:r>
      <w:r w:rsidR="00883649">
        <w:t xml:space="preserve"> a number of </w:t>
      </w:r>
      <w:r w:rsidR="00F05AA7">
        <w:t xml:space="preserve">characteristics </w:t>
      </w:r>
      <w:r w:rsidR="006C5F71">
        <w:t xml:space="preserve">that </w:t>
      </w:r>
      <w:r w:rsidR="00563E3F">
        <w:t>any</w:t>
      </w:r>
      <w:r w:rsidR="006C5F71">
        <w:t xml:space="preserve"> </w:t>
      </w:r>
      <w:r w:rsidR="004E45F0">
        <w:t>decision-making</w:t>
      </w:r>
      <w:r w:rsidR="00D16062">
        <w:t xml:space="preserve"> </w:t>
      </w:r>
      <w:r w:rsidR="00563E3F">
        <w:t xml:space="preserve">framework should </w:t>
      </w:r>
      <w:r w:rsidR="00F05AA7">
        <w:t xml:space="preserve">exemplify </w:t>
      </w:r>
      <w:r w:rsidR="006C5F71">
        <w:t>in order t</w:t>
      </w:r>
      <w:r w:rsidR="008455CB">
        <w:t>o enable all people to exercise capacity and make choices about all aspects of their lives</w:t>
      </w:r>
      <w:r w:rsidR="006C5F71">
        <w:t xml:space="preserve">. </w:t>
      </w:r>
      <w:r w:rsidR="00A61D69">
        <w:t>These are briefly outlined</w:t>
      </w:r>
      <w:r w:rsidR="00563E3F">
        <w:t xml:space="preserve"> in this submission. </w:t>
      </w:r>
    </w:p>
    <w:p w:rsidR="00D16062" w:rsidRDefault="00D16062" w:rsidP="007823D0">
      <w:pPr>
        <w:pStyle w:val="Default"/>
      </w:pPr>
    </w:p>
    <w:p w:rsidR="00257ABB" w:rsidRDefault="00D16062" w:rsidP="00D444A3">
      <w:pPr>
        <w:pStyle w:val="Default"/>
      </w:pPr>
      <w:r>
        <w:t xml:space="preserve">Underscoring the recommendations made in this submission is the fundamental need for a </w:t>
      </w:r>
      <w:r w:rsidR="004E45F0">
        <w:t>decision-making</w:t>
      </w:r>
      <w:r>
        <w:t xml:space="preserve"> framework that is consistent with Australia’s obligations under the UNCRPD and other human ri</w:t>
      </w:r>
      <w:r w:rsidR="00986DC7">
        <w:t>ghts instruments and provides a continuum of supports that people ca</w:t>
      </w:r>
      <w:r w:rsidR="00062ABB">
        <w:t xml:space="preserve">n access to assist them to make different decisions at different times. The </w:t>
      </w:r>
      <w:r w:rsidR="004E45F0">
        <w:t>decision-making</w:t>
      </w:r>
      <w:r w:rsidR="00062ABB" w:rsidRPr="00EA2674">
        <w:t xml:space="preserve"> framework </w:t>
      </w:r>
      <w:r w:rsidR="00062ABB">
        <w:t>should</w:t>
      </w:r>
      <w:r w:rsidR="00062ABB" w:rsidRPr="00EA2674">
        <w:t xml:space="preserve"> be supported by resources that</w:t>
      </w:r>
      <w:r w:rsidR="004B46C8">
        <w:t xml:space="preserve"> actually</w:t>
      </w:r>
      <w:r w:rsidR="00062ABB" w:rsidRPr="00EA2674">
        <w:t xml:space="preserve"> build the capacity of people wi</w:t>
      </w:r>
      <w:r w:rsidR="00A174D9">
        <w:t xml:space="preserve">th disability to make decisions and drive cultural change to increase recognition of the human rights and decision-making abilities of people with disability. </w:t>
      </w:r>
      <w:r w:rsidR="00062ABB" w:rsidRPr="00EA2674">
        <w:t xml:space="preserve"> </w:t>
      </w:r>
    </w:p>
    <w:p w:rsidR="002B018A" w:rsidRDefault="002B018A" w:rsidP="002B018A"/>
    <w:p w:rsidR="002B018A" w:rsidRDefault="002B018A">
      <w:pPr>
        <w:spacing w:before="0" w:after="0"/>
        <w:rPr>
          <w:b/>
          <w:bCs/>
          <w:sz w:val="28"/>
          <w:szCs w:val="28"/>
        </w:rPr>
      </w:pPr>
      <w:r>
        <w:br w:type="page"/>
      </w:r>
    </w:p>
    <w:p w:rsidR="00257ABB" w:rsidRDefault="00257ABB" w:rsidP="00257ABB">
      <w:pPr>
        <w:pStyle w:val="Heading1"/>
      </w:pPr>
      <w:bookmarkStart w:id="22" w:name="_Toc446329112"/>
      <w:r>
        <w:lastRenderedPageBreak/>
        <w:t>Issues to consider in the review process</w:t>
      </w:r>
      <w:bookmarkEnd w:id="22"/>
    </w:p>
    <w:p w:rsidR="00257ABB" w:rsidRDefault="00257ABB" w:rsidP="00257ABB">
      <w:pPr>
        <w:pStyle w:val="Heading2"/>
      </w:pPr>
      <w:bookmarkStart w:id="23" w:name="_Toc446329113"/>
      <w:r>
        <w:t>The need for ongoing consultation and involvement of people with disability and their representative organisations</w:t>
      </w:r>
      <w:bookmarkEnd w:id="23"/>
    </w:p>
    <w:p w:rsidR="00257ABB" w:rsidRDefault="00257ABB" w:rsidP="00257ABB">
      <w:pPr>
        <w:autoSpaceDE w:val="0"/>
        <w:autoSpaceDN w:val="0"/>
        <w:adjustRightInd w:val="0"/>
        <w:spacing w:before="0" w:after="0"/>
        <w:rPr>
          <w:rFonts w:cs="Arial"/>
          <w:color w:val="000000"/>
        </w:rPr>
      </w:pPr>
      <w:r w:rsidRPr="000A4CFF">
        <w:rPr>
          <w:rFonts w:cs="Arial"/>
          <w:color w:val="000000"/>
        </w:rPr>
        <w:t xml:space="preserve">It is </w:t>
      </w:r>
      <w:r>
        <w:rPr>
          <w:rFonts w:cs="Arial"/>
          <w:color w:val="000000"/>
        </w:rPr>
        <w:t>imperative that people with disability</w:t>
      </w:r>
      <w:r w:rsidR="003C6748">
        <w:rPr>
          <w:rFonts w:cs="Arial"/>
          <w:color w:val="000000"/>
        </w:rPr>
        <w:t xml:space="preserve"> and their representative organisations</w:t>
      </w:r>
      <w:r>
        <w:rPr>
          <w:rFonts w:cs="Arial"/>
          <w:color w:val="000000"/>
        </w:rPr>
        <w:t xml:space="preserve"> are involved i</w:t>
      </w:r>
      <w:r w:rsidRPr="000A4CFF">
        <w:rPr>
          <w:rFonts w:cs="Arial"/>
          <w:color w:val="000000"/>
        </w:rPr>
        <w:t xml:space="preserve">n the process of </w:t>
      </w:r>
      <w:r>
        <w:rPr>
          <w:rFonts w:cs="Arial"/>
          <w:color w:val="000000"/>
        </w:rPr>
        <w:t xml:space="preserve">reviewing the </w:t>
      </w:r>
      <w:r>
        <w:rPr>
          <w:rFonts w:cs="Arial"/>
          <w:i/>
          <w:color w:val="000000"/>
        </w:rPr>
        <w:t>Guardianship Act</w:t>
      </w:r>
      <w:r w:rsidRPr="000A4CFF">
        <w:rPr>
          <w:rFonts w:cs="Arial"/>
          <w:color w:val="000000"/>
        </w:rPr>
        <w:t xml:space="preserve">. </w:t>
      </w:r>
      <w:r>
        <w:rPr>
          <w:rFonts w:cs="Arial"/>
          <w:color w:val="000000"/>
        </w:rPr>
        <w:t>The fundamental human rights of people with disability are at stake and it is important that people with disability are given every opportunity to give their opinions and suggestions for improvement of the decision-making framework in NSW.</w:t>
      </w:r>
    </w:p>
    <w:p w:rsidR="00257ABB" w:rsidRDefault="00257ABB" w:rsidP="00257ABB">
      <w:pPr>
        <w:autoSpaceDE w:val="0"/>
        <w:autoSpaceDN w:val="0"/>
        <w:adjustRightInd w:val="0"/>
        <w:spacing w:before="0" w:after="0"/>
        <w:rPr>
          <w:rFonts w:cs="Arial"/>
          <w:color w:val="000000"/>
        </w:rPr>
      </w:pPr>
    </w:p>
    <w:p w:rsidR="00D444A3" w:rsidRPr="001451C9" w:rsidRDefault="003C6748" w:rsidP="00D444A3">
      <w:pPr>
        <w:autoSpaceDE w:val="0"/>
        <w:autoSpaceDN w:val="0"/>
        <w:adjustRightInd w:val="0"/>
        <w:spacing w:before="0" w:after="0"/>
        <w:rPr>
          <w:rFonts w:cs="Arial"/>
          <w:color w:val="000000"/>
        </w:rPr>
      </w:pPr>
      <w:r w:rsidRPr="000A4CFF">
        <w:rPr>
          <w:rFonts w:cs="Arial"/>
          <w:color w:val="000000"/>
        </w:rPr>
        <w:t>Any transition to new regimes must be done carefully, systematically and in consultatio</w:t>
      </w:r>
      <w:r>
        <w:rPr>
          <w:rFonts w:cs="Arial"/>
          <w:color w:val="000000"/>
        </w:rPr>
        <w:t xml:space="preserve">n with people with a disability and their representative organisations. </w:t>
      </w:r>
      <w:r w:rsidR="00D444A3">
        <w:rPr>
          <w:rFonts w:cs="Arial"/>
          <w:color w:val="000000"/>
        </w:rPr>
        <w:t>Even the most robust and appropriate scheme will be undermined if it is introduced without consulting people with disability and without support to ensure a smooth transition.</w:t>
      </w:r>
    </w:p>
    <w:p w:rsidR="00257ABB" w:rsidRDefault="00257ABB" w:rsidP="00257ABB">
      <w:pPr>
        <w:autoSpaceDE w:val="0"/>
        <w:autoSpaceDN w:val="0"/>
        <w:adjustRightInd w:val="0"/>
        <w:spacing w:before="0" w:after="0"/>
        <w:rPr>
          <w:sz w:val="22"/>
          <w:szCs w:val="22"/>
          <w:highlight w:val="yellow"/>
        </w:rPr>
      </w:pPr>
    </w:p>
    <w:p w:rsidR="00257ABB" w:rsidRPr="0000001B" w:rsidRDefault="00257ABB" w:rsidP="00257ABB">
      <w:pPr>
        <w:pBdr>
          <w:top w:val="single" w:sz="4" w:space="1" w:color="auto"/>
          <w:left w:val="single" w:sz="4" w:space="4" w:color="auto"/>
          <w:bottom w:val="single" w:sz="4" w:space="1" w:color="auto"/>
          <w:right w:val="single" w:sz="4" w:space="4" w:color="auto"/>
        </w:pBdr>
        <w:autoSpaceDE w:val="0"/>
        <w:autoSpaceDN w:val="0"/>
        <w:adjustRightInd w:val="0"/>
        <w:spacing w:before="0" w:after="0"/>
        <w:rPr>
          <w:rFonts w:ascii="Calibri,Italic" w:hAnsi="Calibri,Italic" w:cs="Calibri,Italic"/>
          <w:b/>
          <w:iCs/>
          <w:sz w:val="22"/>
          <w:szCs w:val="22"/>
          <w:u w:val="single"/>
        </w:rPr>
      </w:pPr>
      <w:r>
        <w:rPr>
          <w:b/>
          <w:sz w:val="22"/>
          <w:szCs w:val="22"/>
        </w:rPr>
        <w:t xml:space="preserve">Recommendation </w:t>
      </w:r>
      <w:r w:rsidR="003C6748">
        <w:rPr>
          <w:b/>
          <w:sz w:val="22"/>
          <w:szCs w:val="22"/>
        </w:rPr>
        <w:t>1</w:t>
      </w:r>
      <w:r>
        <w:rPr>
          <w:b/>
          <w:sz w:val="22"/>
          <w:szCs w:val="22"/>
        </w:rPr>
        <w:t>: The NSW Law Reform Commission should consult with and actively involve people with disability and their representative organisations in the development and implementation of the decision-making framework</w:t>
      </w:r>
    </w:p>
    <w:p w:rsidR="003C6748" w:rsidRDefault="003C6748" w:rsidP="00E72FD4">
      <w:pPr>
        <w:spacing w:before="0" w:after="0"/>
        <w:rPr>
          <w:lang w:eastAsia="en-US"/>
        </w:rPr>
      </w:pPr>
    </w:p>
    <w:p w:rsidR="003C6748" w:rsidRDefault="003C6748" w:rsidP="003C6748">
      <w:pPr>
        <w:pStyle w:val="Heading2"/>
      </w:pPr>
      <w:bookmarkStart w:id="24" w:name="_Toc446329114"/>
      <w:r>
        <w:t>The need for improved data collection about decision-making arrangements</w:t>
      </w:r>
      <w:bookmarkEnd w:id="24"/>
      <w:r>
        <w:t xml:space="preserve"> </w:t>
      </w:r>
    </w:p>
    <w:p w:rsidR="003C6748" w:rsidRDefault="003C6748" w:rsidP="003C6748">
      <w:pPr>
        <w:autoSpaceDE w:val="0"/>
        <w:autoSpaceDN w:val="0"/>
        <w:adjustRightInd w:val="0"/>
        <w:spacing w:before="0" w:after="0"/>
        <w:rPr>
          <w:rFonts w:cs="Arial"/>
          <w:color w:val="000000"/>
        </w:rPr>
      </w:pPr>
      <w:r w:rsidRPr="005D37F0">
        <w:rPr>
          <w:rFonts w:cs="Arial"/>
          <w:color w:val="000000"/>
        </w:rPr>
        <w:t xml:space="preserve">To date, it has been difficult to obtain consistent data about the appointment of substitute decision makers. There is a clear need for improved data collection to facilitate comparisons across jurisdictions and inform policy development. </w:t>
      </w:r>
    </w:p>
    <w:p w:rsidR="003C6748" w:rsidRPr="005D37F0" w:rsidRDefault="003C6748" w:rsidP="003C6748">
      <w:pPr>
        <w:autoSpaceDE w:val="0"/>
        <w:autoSpaceDN w:val="0"/>
        <w:adjustRightInd w:val="0"/>
        <w:spacing w:before="0" w:after="0"/>
        <w:rPr>
          <w:rFonts w:cs="Arial"/>
          <w:color w:val="000000"/>
        </w:rPr>
      </w:pPr>
    </w:p>
    <w:p w:rsidR="003C6748" w:rsidRDefault="003C6748" w:rsidP="003C6748">
      <w:pPr>
        <w:autoSpaceDE w:val="0"/>
        <w:autoSpaceDN w:val="0"/>
        <w:adjustRightInd w:val="0"/>
        <w:spacing w:before="0" w:after="0"/>
        <w:rPr>
          <w:rFonts w:cs="Arial"/>
          <w:color w:val="000000"/>
        </w:rPr>
      </w:pPr>
      <w:r w:rsidRPr="005D37F0">
        <w:rPr>
          <w:rFonts w:cs="Arial"/>
          <w:color w:val="000000"/>
        </w:rPr>
        <w:t xml:space="preserve">The </w:t>
      </w:r>
      <w:r>
        <w:rPr>
          <w:rFonts w:cs="Arial"/>
          <w:color w:val="000000"/>
        </w:rPr>
        <w:t>decision-making</w:t>
      </w:r>
      <w:r w:rsidRPr="005D37F0">
        <w:rPr>
          <w:rFonts w:cs="Arial"/>
          <w:color w:val="000000"/>
        </w:rPr>
        <w:t xml:space="preserve"> framework must promote mechanisms for consistent data collection about supported and representative or substitute </w:t>
      </w:r>
      <w:r>
        <w:rPr>
          <w:rFonts w:cs="Arial"/>
          <w:color w:val="000000"/>
        </w:rPr>
        <w:t>decision-making</w:t>
      </w:r>
      <w:r w:rsidRPr="005D37F0">
        <w:rPr>
          <w:rFonts w:cs="Arial"/>
          <w:color w:val="000000"/>
        </w:rPr>
        <w:t xml:space="preserve"> arrangements.</w:t>
      </w:r>
    </w:p>
    <w:p w:rsidR="003C6748" w:rsidRPr="005D37F0" w:rsidRDefault="003C6748" w:rsidP="003C6748">
      <w:pPr>
        <w:autoSpaceDE w:val="0"/>
        <w:autoSpaceDN w:val="0"/>
        <w:adjustRightInd w:val="0"/>
        <w:spacing w:before="0" w:after="0"/>
        <w:rPr>
          <w:rFonts w:cs="Arial"/>
          <w:color w:val="000000"/>
        </w:rPr>
      </w:pPr>
    </w:p>
    <w:p w:rsidR="003C6748" w:rsidRPr="00257ABB" w:rsidRDefault="003C6748" w:rsidP="003C6748">
      <w:pPr>
        <w:pBdr>
          <w:top w:val="single" w:sz="4" w:space="1" w:color="auto"/>
          <w:left w:val="single" w:sz="4" w:space="4" w:color="auto"/>
          <w:bottom w:val="single" w:sz="4" w:space="1" w:color="auto"/>
          <w:right w:val="single" w:sz="4" w:space="4" w:color="auto"/>
        </w:pBdr>
        <w:autoSpaceDE w:val="0"/>
        <w:autoSpaceDN w:val="0"/>
        <w:adjustRightInd w:val="0"/>
        <w:spacing w:before="0" w:after="0"/>
        <w:rPr>
          <w:rFonts w:ascii="Calibri,Italic" w:hAnsi="Calibri,Italic" w:cs="Calibri,Italic"/>
          <w:b/>
          <w:iCs/>
          <w:sz w:val="22"/>
          <w:szCs w:val="22"/>
          <w:u w:val="single"/>
        </w:rPr>
      </w:pPr>
      <w:r>
        <w:rPr>
          <w:b/>
          <w:sz w:val="22"/>
          <w:szCs w:val="22"/>
        </w:rPr>
        <w:t xml:space="preserve">Recommendation 2: The decision-making framework should promote </w:t>
      </w:r>
      <w:r w:rsidRPr="005D37F0">
        <w:rPr>
          <w:b/>
          <w:sz w:val="22"/>
          <w:szCs w:val="22"/>
        </w:rPr>
        <w:t xml:space="preserve">mechanisms for consistent data collection about supported and representative or substitute </w:t>
      </w:r>
      <w:r>
        <w:rPr>
          <w:b/>
          <w:sz w:val="22"/>
          <w:szCs w:val="22"/>
        </w:rPr>
        <w:t>decision-making</w:t>
      </w:r>
      <w:r w:rsidRPr="005D37F0">
        <w:rPr>
          <w:b/>
          <w:sz w:val="22"/>
          <w:szCs w:val="22"/>
        </w:rPr>
        <w:t xml:space="preserve"> arrangements.</w:t>
      </w:r>
    </w:p>
    <w:p w:rsidR="00E72FD4" w:rsidRDefault="00E72FD4" w:rsidP="00E72FD4">
      <w:pPr>
        <w:spacing w:before="0" w:after="0"/>
        <w:rPr>
          <w:b/>
          <w:bCs/>
          <w:sz w:val="28"/>
          <w:szCs w:val="28"/>
          <w:lang w:eastAsia="en-US"/>
        </w:rPr>
      </w:pPr>
      <w:r>
        <w:rPr>
          <w:lang w:eastAsia="en-US"/>
        </w:rPr>
        <w:br w:type="page"/>
      </w:r>
    </w:p>
    <w:p w:rsidR="00A92D56" w:rsidRPr="00216EF8" w:rsidRDefault="00F05AA7" w:rsidP="00AD66AB">
      <w:pPr>
        <w:pStyle w:val="Heading1"/>
      </w:pPr>
      <w:bookmarkStart w:id="25" w:name="_Toc446329115"/>
      <w:r>
        <w:lastRenderedPageBreak/>
        <w:t>Characteristics</w:t>
      </w:r>
      <w:r w:rsidR="00741A76">
        <w:t xml:space="preserve"> of a </w:t>
      </w:r>
      <w:r w:rsidR="004E45F0">
        <w:t>decision-making</w:t>
      </w:r>
      <w:r w:rsidR="00FA52D0">
        <w:t xml:space="preserve"> framework</w:t>
      </w:r>
      <w:r w:rsidR="00741A76">
        <w:t xml:space="preserve"> that will enable all people to exercise capacity</w:t>
      </w:r>
      <w:r>
        <w:t xml:space="preserve"> to their full extent</w:t>
      </w:r>
      <w:r w:rsidR="00741A76">
        <w:t xml:space="preserve"> and make </w:t>
      </w:r>
      <w:r w:rsidR="00FA52D0">
        <w:t>choices</w:t>
      </w:r>
      <w:r w:rsidR="00741A76">
        <w:t xml:space="preserve"> about </w:t>
      </w:r>
      <w:r w:rsidR="00D16062">
        <w:t>their lives</w:t>
      </w:r>
      <w:bookmarkEnd w:id="25"/>
    </w:p>
    <w:p w:rsidR="0078013E" w:rsidRPr="006300A8" w:rsidRDefault="001C3532" w:rsidP="006300A8">
      <w:pPr>
        <w:pStyle w:val="Heading2"/>
      </w:pPr>
      <w:bookmarkStart w:id="26" w:name="_Toc446329116"/>
      <w:r w:rsidRPr="006300A8">
        <w:t>Consistency</w:t>
      </w:r>
      <w:r w:rsidR="00482679" w:rsidRPr="006300A8">
        <w:t xml:space="preserve"> with Australia’s obligations under the </w:t>
      </w:r>
      <w:r w:rsidR="00F83B1C" w:rsidRPr="006300A8">
        <w:t>UNCRPD and other international human rights instruments</w:t>
      </w:r>
      <w:bookmarkEnd w:id="26"/>
    </w:p>
    <w:p w:rsidR="00E60C78" w:rsidRDefault="00F0626E" w:rsidP="00E60C78">
      <w:pPr>
        <w:autoSpaceDE w:val="0"/>
        <w:autoSpaceDN w:val="0"/>
        <w:adjustRightInd w:val="0"/>
        <w:spacing w:before="0" w:after="0"/>
      </w:pPr>
      <w:r>
        <w:t>NSW laws with respect to capacity and financial management</w:t>
      </w:r>
      <w:r w:rsidR="002D220D">
        <w:t xml:space="preserve"> </w:t>
      </w:r>
      <w:r w:rsidR="00A30E8D">
        <w:t>have not s</w:t>
      </w:r>
      <w:r w:rsidR="002D220D">
        <w:t xml:space="preserve">ubstantially changed since Australia </w:t>
      </w:r>
      <w:r>
        <w:t>ratified the UNCRPD and became a party to the O</w:t>
      </w:r>
      <w:r w:rsidR="00867095">
        <w:t xml:space="preserve">ptional Protocol in August 2009. </w:t>
      </w:r>
      <w:r w:rsidR="00A30E8D">
        <w:t xml:space="preserve"> </w:t>
      </w:r>
      <w:r w:rsidR="00E60C78">
        <w:t>The UNCRPD represents a paradigm shift in addressing legal capacity</w:t>
      </w:r>
      <w:r w:rsidR="005B26A3">
        <w:t>.  It</w:t>
      </w:r>
      <w:r w:rsidR="00E60C78">
        <w:t xml:space="preserve"> recognises that </w:t>
      </w:r>
      <w:r w:rsidR="005B26A3">
        <w:t>people with disability</w:t>
      </w:r>
      <w:r w:rsidR="00E60C78">
        <w:t xml:space="preserve"> </w:t>
      </w:r>
      <w:r w:rsidR="005B26A3">
        <w:t>“</w:t>
      </w:r>
      <w:r w:rsidR="00E60C78">
        <w:t>enjoy legal capacity on an equal basis with others in all aspects of life</w:t>
      </w:r>
      <w:r w:rsidR="005B26A3">
        <w:t>.</w:t>
      </w:r>
      <w:r w:rsidR="00E60C78">
        <w:t>”</w:t>
      </w:r>
      <w:r w:rsidR="00E60C78">
        <w:rPr>
          <w:rStyle w:val="FootnoteReference"/>
        </w:rPr>
        <w:footnoteReference w:id="2"/>
      </w:r>
      <w:r w:rsidR="005B26A3">
        <w:t xml:space="preserve"> A key message from the UNCRPD is that people with disability</w:t>
      </w:r>
      <w:r w:rsidR="005B26A3" w:rsidRPr="00867095">
        <w:t xml:space="preserve"> are to be regarded and respected, first and foremost, as citizens with equal rights, aspirations to live well, a capacity to contribute to the community and to make their own decisions.</w:t>
      </w:r>
      <w:r w:rsidR="005B26A3">
        <w:t xml:space="preserve"> </w:t>
      </w:r>
      <w:r w:rsidR="00867095">
        <w:t xml:space="preserve">Reform </w:t>
      </w:r>
      <w:r w:rsidR="005B26A3">
        <w:t xml:space="preserve">to NSW laws </w:t>
      </w:r>
      <w:r w:rsidR="00867095">
        <w:t>is timely</w:t>
      </w:r>
      <w:r w:rsidR="005B26A3">
        <w:t xml:space="preserve"> and critical to ensure that this</w:t>
      </w:r>
      <w:r w:rsidR="00867095">
        <w:t xml:space="preserve"> paradigm sh</w:t>
      </w:r>
      <w:r w:rsidR="0016042D">
        <w:t>ift</w:t>
      </w:r>
      <w:r w:rsidR="00B55007">
        <w:t xml:space="preserve"> translates to real and measurable improvements to the lives of people with disability and the extent to which their human rights are upheld. </w:t>
      </w:r>
    </w:p>
    <w:p w:rsidR="00B55007" w:rsidRDefault="00B55007" w:rsidP="0016042D">
      <w:pPr>
        <w:autoSpaceDE w:val="0"/>
        <w:autoSpaceDN w:val="0"/>
        <w:adjustRightInd w:val="0"/>
        <w:spacing w:before="0" w:after="0"/>
      </w:pPr>
    </w:p>
    <w:p w:rsidR="00661F70" w:rsidRDefault="00E060FA" w:rsidP="00B55007">
      <w:pPr>
        <w:autoSpaceDE w:val="0"/>
        <w:autoSpaceDN w:val="0"/>
        <w:adjustRightInd w:val="0"/>
        <w:spacing w:before="0" w:after="0"/>
      </w:pPr>
      <w:r>
        <w:t>For NSW laws to be consistent with Australia’s obligations under the UNCRPD and other internat</w:t>
      </w:r>
      <w:r w:rsidR="00C42A44">
        <w:t xml:space="preserve">ional human rights instruments </w:t>
      </w:r>
      <w:r>
        <w:t>they should</w:t>
      </w:r>
      <w:r w:rsidR="00C42A44">
        <w:t xml:space="preserve">, </w:t>
      </w:r>
      <w:r w:rsidR="00D60566">
        <w:t>at a minimum</w:t>
      </w:r>
      <w:r>
        <w:t>:</w:t>
      </w:r>
    </w:p>
    <w:p w:rsidR="00B32F9A" w:rsidRDefault="00B32F9A" w:rsidP="00E060FA">
      <w:pPr>
        <w:pStyle w:val="ListParagraph"/>
        <w:numPr>
          <w:ilvl w:val="0"/>
          <w:numId w:val="36"/>
        </w:numPr>
        <w:autoSpaceDE w:val="0"/>
        <w:autoSpaceDN w:val="0"/>
        <w:adjustRightInd w:val="0"/>
        <w:spacing w:before="0" w:after="0"/>
      </w:pPr>
      <w:r>
        <w:t>affirm that people with disability have the right to recognition as persons before the law</w:t>
      </w:r>
      <w:r>
        <w:rPr>
          <w:rStyle w:val="FootnoteReference"/>
        </w:rPr>
        <w:footnoteReference w:id="3"/>
      </w:r>
    </w:p>
    <w:p w:rsidR="00E060FA" w:rsidRDefault="00B32F9A" w:rsidP="00E060FA">
      <w:pPr>
        <w:pStyle w:val="ListParagraph"/>
        <w:numPr>
          <w:ilvl w:val="0"/>
          <w:numId w:val="36"/>
        </w:numPr>
        <w:autoSpaceDE w:val="0"/>
        <w:autoSpaceDN w:val="0"/>
        <w:adjustRightInd w:val="0"/>
        <w:spacing w:before="0" w:after="0"/>
      </w:pPr>
      <w:r>
        <w:t>recognise that people with disability enjoy legal capacity on an equal basis with others</w:t>
      </w:r>
      <w:r w:rsidR="000922FF">
        <w:t xml:space="preserve"> in all aspects of life</w:t>
      </w:r>
      <w:r w:rsidR="000922FF">
        <w:rPr>
          <w:rStyle w:val="FootnoteReference"/>
        </w:rPr>
        <w:footnoteReference w:id="4"/>
      </w:r>
    </w:p>
    <w:p w:rsidR="006300A8" w:rsidRDefault="000922FF" w:rsidP="00E060FA">
      <w:pPr>
        <w:pStyle w:val="ListParagraph"/>
        <w:numPr>
          <w:ilvl w:val="0"/>
          <w:numId w:val="36"/>
        </w:numPr>
        <w:autoSpaceDE w:val="0"/>
        <w:autoSpaceDN w:val="0"/>
        <w:adjustRightInd w:val="0"/>
        <w:spacing w:before="0" w:after="0"/>
      </w:pPr>
      <w:r>
        <w:t>provide support so people with disability can exercise capacity and realise their right to individual autonomy, independence, and freedom to make one’s own decisions</w:t>
      </w:r>
      <w:r>
        <w:rPr>
          <w:rStyle w:val="FootnoteReference"/>
        </w:rPr>
        <w:footnoteReference w:id="5"/>
      </w:r>
    </w:p>
    <w:p w:rsidR="006300A8" w:rsidRDefault="00C44C32" w:rsidP="006300A8">
      <w:pPr>
        <w:pStyle w:val="ListParagraph"/>
        <w:numPr>
          <w:ilvl w:val="0"/>
          <w:numId w:val="36"/>
        </w:numPr>
        <w:autoSpaceDE w:val="0"/>
        <w:autoSpaceDN w:val="0"/>
        <w:adjustRightInd w:val="0"/>
        <w:spacing w:before="0" w:after="0"/>
      </w:pPr>
      <w:r>
        <w:t xml:space="preserve">provide appropriate, effective and proportionate safeguards to prevent abuse, neglect and/or exploitation of </w:t>
      </w:r>
      <w:r w:rsidR="004E45F0">
        <w:t>decision-making</w:t>
      </w:r>
      <w:r>
        <w:t xml:space="preserve"> arrangements,</w:t>
      </w:r>
      <w:r>
        <w:rPr>
          <w:rStyle w:val="FootnoteReference"/>
        </w:rPr>
        <w:footnoteReference w:id="6"/>
      </w:r>
      <w:r>
        <w:t xml:space="preserve"> </w:t>
      </w:r>
      <w:r w:rsidR="006300A8">
        <w:t>including rights to regular review and time limitations</w:t>
      </w:r>
    </w:p>
    <w:p w:rsidR="00C44C32" w:rsidRDefault="00AB1466" w:rsidP="00E060FA">
      <w:pPr>
        <w:pStyle w:val="ListParagraph"/>
        <w:numPr>
          <w:ilvl w:val="0"/>
          <w:numId w:val="36"/>
        </w:numPr>
        <w:autoSpaceDE w:val="0"/>
        <w:autoSpaceDN w:val="0"/>
        <w:adjustRightInd w:val="0"/>
        <w:spacing w:before="0" w:after="0"/>
      </w:pPr>
      <w:r>
        <w:t>provide assistance and support so people with disability can manage their financial affairs</w:t>
      </w:r>
      <w:r>
        <w:rPr>
          <w:rStyle w:val="FootnoteReference"/>
        </w:rPr>
        <w:footnoteReference w:id="7"/>
      </w:r>
    </w:p>
    <w:p w:rsidR="0068329F" w:rsidRDefault="00AB1466" w:rsidP="0068329F">
      <w:pPr>
        <w:pStyle w:val="ListParagraph"/>
        <w:numPr>
          <w:ilvl w:val="0"/>
          <w:numId w:val="36"/>
        </w:numPr>
        <w:autoSpaceDE w:val="0"/>
        <w:autoSpaceDN w:val="0"/>
        <w:adjustRightInd w:val="0"/>
        <w:spacing w:before="0" w:after="0"/>
      </w:pPr>
      <w:r>
        <w:t>apply on equal terms to all members of the population that may have difficulty making decisions and not specify impairment or disability as a threshold for application</w:t>
      </w:r>
    </w:p>
    <w:p w:rsidR="00C23EC1" w:rsidRDefault="00C42A44" w:rsidP="00C23EC1">
      <w:pPr>
        <w:pStyle w:val="ListParagraph"/>
        <w:numPr>
          <w:ilvl w:val="0"/>
          <w:numId w:val="36"/>
        </w:numPr>
        <w:autoSpaceDE w:val="0"/>
        <w:autoSpaceDN w:val="0"/>
        <w:adjustRightInd w:val="0"/>
        <w:spacing w:before="0" w:after="0"/>
      </w:pPr>
      <w:r>
        <w:t>p</w:t>
      </w:r>
      <w:r w:rsidR="0068329F">
        <w:t>rovide “reasonable accommodation”</w:t>
      </w:r>
      <w:r>
        <w:rPr>
          <w:rStyle w:val="FootnoteReference"/>
        </w:rPr>
        <w:footnoteReference w:id="8"/>
      </w:r>
      <w:r w:rsidR="0068329F">
        <w:t xml:space="preserve"> </w:t>
      </w:r>
      <w:r>
        <w:t xml:space="preserve">so people can </w:t>
      </w:r>
      <w:r w:rsidRPr="00E8780C">
        <w:t xml:space="preserve">make, </w:t>
      </w:r>
      <w:r>
        <w:t xml:space="preserve">communicate and participate in </w:t>
      </w:r>
      <w:r w:rsidRPr="00E8780C">
        <w:t>de</w:t>
      </w:r>
      <w:r>
        <w:t>cisions that affect their lives</w:t>
      </w:r>
      <w:r w:rsidR="007E5126">
        <w:t>.</w:t>
      </w:r>
      <w:r>
        <w:rPr>
          <w:rStyle w:val="FootnoteReference"/>
        </w:rPr>
        <w:footnoteReference w:id="9"/>
      </w:r>
    </w:p>
    <w:p w:rsidR="00370F63" w:rsidRPr="006300A8" w:rsidRDefault="00257ABB" w:rsidP="006300A8">
      <w:pPr>
        <w:pBdr>
          <w:top w:val="single" w:sz="4" w:space="1" w:color="auto"/>
          <w:left w:val="single" w:sz="4" w:space="4" w:color="auto"/>
          <w:bottom w:val="single" w:sz="4" w:space="1" w:color="auto"/>
          <w:right w:val="single" w:sz="4" w:space="4" w:color="auto"/>
        </w:pBdr>
        <w:autoSpaceDE w:val="0"/>
        <w:autoSpaceDN w:val="0"/>
        <w:adjustRightInd w:val="0"/>
        <w:spacing w:before="0" w:after="0"/>
        <w:rPr>
          <w:b/>
        </w:rPr>
      </w:pPr>
      <w:r>
        <w:rPr>
          <w:b/>
        </w:rPr>
        <w:lastRenderedPageBreak/>
        <w:t>Recommendation 3</w:t>
      </w:r>
      <w:r w:rsidR="00C42A44">
        <w:rPr>
          <w:b/>
        </w:rPr>
        <w:t xml:space="preserve">: The </w:t>
      </w:r>
      <w:r w:rsidR="004E45F0">
        <w:rPr>
          <w:b/>
        </w:rPr>
        <w:t>decision-making</w:t>
      </w:r>
      <w:r w:rsidR="00C42A44">
        <w:rPr>
          <w:b/>
        </w:rPr>
        <w:t xml:space="preserve"> framework should be consistent with Australia’s obligations under the UNCRPD and other international human rights instruments </w:t>
      </w:r>
    </w:p>
    <w:p w:rsidR="0088073D" w:rsidRPr="0088073D" w:rsidRDefault="001C3532" w:rsidP="006300A8">
      <w:pPr>
        <w:pStyle w:val="Heading2"/>
        <w:rPr>
          <w:i/>
        </w:rPr>
      </w:pPr>
      <w:bookmarkStart w:id="27" w:name="_Toc446329117"/>
      <w:r>
        <w:t xml:space="preserve">Underpinning principles that are </w:t>
      </w:r>
      <w:r w:rsidR="0088073D">
        <w:t xml:space="preserve">more expansive, comprehensive and human rights centred principles than the current general principles in section 4 of the </w:t>
      </w:r>
      <w:r w:rsidR="0088073D">
        <w:rPr>
          <w:i/>
        </w:rPr>
        <w:t>Guardianship Act</w:t>
      </w:r>
      <w:bookmarkEnd w:id="27"/>
    </w:p>
    <w:p w:rsidR="00B40345" w:rsidRDefault="006300A8" w:rsidP="0088073D">
      <w:r>
        <w:t xml:space="preserve">The </w:t>
      </w:r>
      <w:r w:rsidR="003E7B65">
        <w:t xml:space="preserve">current general principles </w:t>
      </w:r>
      <w:r w:rsidR="00FA1B37">
        <w:t xml:space="preserve">in the </w:t>
      </w:r>
      <w:r w:rsidR="00FA1B37">
        <w:rPr>
          <w:i/>
        </w:rPr>
        <w:t>Guardianship Act</w:t>
      </w:r>
      <w:r w:rsidR="00FA1B37">
        <w:t xml:space="preserve"> are not expansive or comprehensive enough for a </w:t>
      </w:r>
      <w:r w:rsidR="004E45F0">
        <w:t>decision-making</w:t>
      </w:r>
      <w:r w:rsidR="00FA1B37">
        <w:t xml:space="preserve"> framework that will reflect and uphold the human rights of people with disability and enable all people to exercise capacity to their full extent and make choices about their lives.</w:t>
      </w:r>
      <w:r w:rsidR="00B40345">
        <w:t xml:space="preserve">  </w:t>
      </w:r>
    </w:p>
    <w:p w:rsidR="00FA1B37" w:rsidRDefault="00FA1B37" w:rsidP="0088073D">
      <w:r>
        <w:t xml:space="preserve">The paramount consideration </w:t>
      </w:r>
      <w:r w:rsidR="0008286A">
        <w:t xml:space="preserve">for guardians and administrators </w:t>
      </w:r>
      <w:r>
        <w:t>is curre</w:t>
      </w:r>
      <w:r w:rsidR="0008286A">
        <w:t xml:space="preserve">ntly the welfare and interests, rather than the wishes or expressed opinions of the person. This is fundamentally inconsistent with the UNCRPD as it does not respect the autonomy of the individual and places a responsibility on the guardian or administrator to act in a protective capacity. </w:t>
      </w:r>
    </w:p>
    <w:p w:rsidR="0008286A" w:rsidRDefault="0008286A" w:rsidP="0088073D">
      <w:r>
        <w:t xml:space="preserve">The Council is generally supportive of the National </w:t>
      </w:r>
      <w:r w:rsidR="004E45F0">
        <w:t>Decision-making</w:t>
      </w:r>
      <w:r>
        <w:t xml:space="preserve"> principles </w:t>
      </w:r>
      <w:r w:rsidR="007F629D">
        <w:t xml:space="preserve">outlined by the Australian Law Reform Commission Report on </w:t>
      </w:r>
      <w:r w:rsidR="007F629D" w:rsidRPr="007F629D">
        <w:t>Equality, Capacity and Disability in Commonwealth Laws</w:t>
      </w:r>
      <w:r w:rsidR="007F629D">
        <w:t>, namely that:</w:t>
      </w:r>
    </w:p>
    <w:p w:rsidR="007F629D" w:rsidRPr="007F629D" w:rsidRDefault="007E5126" w:rsidP="007F629D">
      <w:pPr>
        <w:pStyle w:val="NoSpacing"/>
        <w:numPr>
          <w:ilvl w:val="0"/>
          <w:numId w:val="37"/>
        </w:numPr>
        <w:rPr>
          <w:b w:val="0"/>
          <w:sz w:val="24"/>
          <w:szCs w:val="24"/>
        </w:rPr>
      </w:pPr>
      <w:r>
        <w:rPr>
          <w:b w:val="0"/>
          <w:sz w:val="24"/>
          <w:szCs w:val="24"/>
        </w:rPr>
        <w:t>a</w:t>
      </w:r>
      <w:r w:rsidR="007F629D" w:rsidRPr="007F629D">
        <w:rPr>
          <w:b w:val="0"/>
          <w:sz w:val="24"/>
          <w:szCs w:val="24"/>
        </w:rPr>
        <w:t>ll adults have an equal right to make decisions that affect their lives and to have those</w:t>
      </w:r>
      <w:r w:rsidR="007F629D">
        <w:rPr>
          <w:b w:val="0"/>
          <w:sz w:val="24"/>
          <w:szCs w:val="24"/>
        </w:rPr>
        <w:t xml:space="preserve"> </w:t>
      </w:r>
      <w:r w:rsidR="007F629D" w:rsidRPr="007F629D">
        <w:rPr>
          <w:b w:val="0"/>
          <w:sz w:val="24"/>
          <w:szCs w:val="24"/>
        </w:rPr>
        <w:t>decisions res</w:t>
      </w:r>
      <w:r>
        <w:rPr>
          <w:b w:val="0"/>
          <w:sz w:val="24"/>
          <w:szCs w:val="24"/>
        </w:rPr>
        <w:t>pected</w:t>
      </w:r>
    </w:p>
    <w:p w:rsidR="007F629D" w:rsidRPr="007F629D" w:rsidRDefault="007E5126" w:rsidP="007F629D">
      <w:pPr>
        <w:pStyle w:val="NoSpacing"/>
        <w:numPr>
          <w:ilvl w:val="0"/>
          <w:numId w:val="37"/>
        </w:numPr>
        <w:rPr>
          <w:b w:val="0"/>
          <w:sz w:val="24"/>
          <w:szCs w:val="24"/>
        </w:rPr>
      </w:pPr>
      <w:r>
        <w:rPr>
          <w:b w:val="0"/>
          <w:sz w:val="24"/>
          <w:szCs w:val="24"/>
        </w:rPr>
        <w:t>p</w:t>
      </w:r>
      <w:r w:rsidR="007F629D" w:rsidRPr="007F629D">
        <w:rPr>
          <w:b w:val="0"/>
          <w:sz w:val="24"/>
          <w:szCs w:val="24"/>
        </w:rPr>
        <w:t>ersons who require support in decision-making must be provided with access to the</w:t>
      </w:r>
    </w:p>
    <w:p w:rsidR="007F629D" w:rsidRPr="007F629D" w:rsidRDefault="007F629D" w:rsidP="007F629D">
      <w:pPr>
        <w:pStyle w:val="NoSpacing"/>
        <w:ind w:left="720"/>
        <w:rPr>
          <w:b w:val="0"/>
          <w:sz w:val="24"/>
          <w:szCs w:val="24"/>
        </w:rPr>
      </w:pPr>
      <w:r w:rsidRPr="007F629D">
        <w:rPr>
          <w:b w:val="0"/>
          <w:sz w:val="24"/>
          <w:szCs w:val="24"/>
        </w:rPr>
        <w:t>support necessary for them to make, communicate and participate in decisions that</w:t>
      </w:r>
    </w:p>
    <w:p w:rsidR="007F629D" w:rsidRPr="007F629D" w:rsidRDefault="007E5126" w:rsidP="007F629D">
      <w:pPr>
        <w:pStyle w:val="NoSpacing"/>
        <w:tabs>
          <w:tab w:val="left" w:pos="3527"/>
        </w:tabs>
        <w:ind w:left="720"/>
        <w:rPr>
          <w:b w:val="0"/>
          <w:sz w:val="24"/>
          <w:szCs w:val="24"/>
        </w:rPr>
      </w:pPr>
      <w:r>
        <w:rPr>
          <w:b w:val="0"/>
          <w:sz w:val="24"/>
          <w:szCs w:val="24"/>
        </w:rPr>
        <w:t>affect their lives</w:t>
      </w:r>
    </w:p>
    <w:p w:rsidR="007F629D" w:rsidRPr="007F629D" w:rsidRDefault="007E5126" w:rsidP="007F629D">
      <w:pPr>
        <w:pStyle w:val="NoSpacing"/>
        <w:numPr>
          <w:ilvl w:val="0"/>
          <w:numId w:val="37"/>
        </w:numPr>
        <w:rPr>
          <w:b w:val="0"/>
          <w:sz w:val="24"/>
          <w:szCs w:val="24"/>
        </w:rPr>
      </w:pPr>
      <w:r>
        <w:rPr>
          <w:b w:val="0"/>
          <w:sz w:val="24"/>
          <w:szCs w:val="24"/>
        </w:rPr>
        <w:t>t</w:t>
      </w:r>
      <w:r w:rsidR="007F629D" w:rsidRPr="007F629D">
        <w:rPr>
          <w:b w:val="0"/>
          <w:sz w:val="24"/>
          <w:szCs w:val="24"/>
        </w:rPr>
        <w:t>he will, preferences and rights of persons who may require decision-making support</w:t>
      </w:r>
    </w:p>
    <w:p w:rsidR="007F629D" w:rsidRPr="007F629D" w:rsidRDefault="007F629D" w:rsidP="007F629D">
      <w:pPr>
        <w:pStyle w:val="NoSpacing"/>
        <w:ind w:left="720"/>
        <w:rPr>
          <w:b w:val="0"/>
          <w:sz w:val="24"/>
          <w:szCs w:val="24"/>
        </w:rPr>
      </w:pPr>
      <w:r w:rsidRPr="007F629D">
        <w:rPr>
          <w:b w:val="0"/>
          <w:sz w:val="24"/>
          <w:szCs w:val="24"/>
        </w:rPr>
        <w:t>must direct de</w:t>
      </w:r>
      <w:r w:rsidR="007E5126">
        <w:rPr>
          <w:b w:val="0"/>
          <w:sz w:val="24"/>
          <w:szCs w:val="24"/>
        </w:rPr>
        <w:t>cisions that affect their lives</w:t>
      </w:r>
    </w:p>
    <w:p w:rsidR="007F629D" w:rsidRPr="007F629D" w:rsidRDefault="007E5126" w:rsidP="007F629D">
      <w:pPr>
        <w:pStyle w:val="NoSpacing"/>
        <w:numPr>
          <w:ilvl w:val="0"/>
          <w:numId w:val="37"/>
        </w:numPr>
        <w:rPr>
          <w:b w:val="0"/>
          <w:sz w:val="24"/>
          <w:szCs w:val="24"/>
        </w:rPr>
      </w:pPr>
      <w:r>
        <w:rPr>
          <w:b w:val="0"/>
          <w:sz w:val="24"/>
          <w:szCs w:val="24"/>
        </w:rPr>
        <w:t>l</w:t>
      </w:r>
      <w:r w:rsidR="007F629D" w:rsidRPr="007F629D">
        <w:rPr>
          <w:b w:val="0"/>
          <w:sz w:val="24"/>
          <w:szCs w:val="24"/>
        </w:rPr>
        <w:t>aws and legal frameworks must contain appropriate and effective safeguards in</w:t>
      </w:r>
    </w:p>
    <w:p w:rsidR="007F629D" w:rsidRPr="007F629D" w:rsidRDefault="007F629D" w:rsidP="007F629D">
      <w:pPr>
        <w:pStyle w:val="NoSpacing"/>
        <w:ind w:left="720"/>
        <w:rPr>
          <w:b w:val="0"/>
          <w:sz w:val="24"/>
          <w:szCs w:val="24"/>
        </w:rPr>
      </w:pPr>
      <w:r w:rsidRPr="007F629D">
        <w:rPr>
          <w:b w:val="0"/>
          <w:sz w:val="24"/>
          <w:szCs w:val="24"/>
        </w:rPr>
        <w:t>relation to interventions for persons who may require decision-making support,</w:t>
      </w:r>
    </w:p>
    <w:p w:rsidR="007F629D" w:rsidRPr="007F629D" w:rsidRDefault="007F629D" w:rsidP="007F629D">
      <w:pPr>
        <w:pStyle w:val="NoSpacing"/>
        <w:ind w:left="720"/>
        <w:rPr>
          <w:b w:val="0"/>
          <w:sz w:val="24"/>
          <w:szCs w:val="24"/>
        </w:rPr>
      </w:pPr>
      <w:r w:rsidRPr="007F629D">
        <w:rPr>
          <w:b w:val="0"/>
          <w:sz w:val="24"/>
          <w:szCs w:val="24"/>
        </w:rPr>
        <w:t>including to prevent abuse and undue influence</w:t>
      </w:r>
      <w:r w:rsidR="007E5126">
        <w:rPr>
          <w:b w:val="0"/>
          <w:sz w:val="24"/>
          <w:szCs w:val="24"/>
        </w:rPr>
        <w:t>.</w:t>
      </w:r>
      <w:r w:rsidR="00B40345">
        <w:rPr>
          <w:rStyle w:val="FootnoteReference"/>
          <w:b w:val="0"/>
          <w:szCs w:val="24"/>
        </w:rPr>
        <w:footnoteReference w:id="10"/>
      </w:r>
    </w:p>
    <w:p w:rsidR="004A76B1" w:rsidRDefault="004A76B1" w:rsidP="0088073D">
      <w:r>
        <w:t xml:space="preserve">The Council also supports the five framing principles identified in the report, namely, dignity, equality, autonomy, inclusion and participation and accountability. All of these principles are important for a framework that enables people to exercise capacity to their full extent and make decisions about their lives. </w:t>
      </w:r>
    </w:p>
    <w:p w:rsidR="0067142B" w:rsidRDefault="00614C22" w:rsidP="0088073D">
      <w:r>
        <w:t xml:space="preserve">The </w:t>
      </w:r>
      <w:r>
        <w:rPr>
          <w:i/>
        </w:rPr>
        <w:t>Guardianship and Administration Act</w:t>
      </w:r>
      <w:r w:rsidRPr="0001029F">
        <w:rPr>
          <w:i/>
        </w:rPr>
        <w:t xml:space="preserve"> 2000</w:t>
      </w:r>
      <w:r>
        <w:t xml:space="preserve"> (QLD) provides a useful example of principles that are more expansive and reflect the key themes of the national </w:t>
      </w:r>
      <w:r w:rsidR="004E45F0">
        <w:t>decision-making</w:t>
      </w:r>
      <w:r>
        <w:t xml:space="preserve"> principles. Schedule 1, part 1 to the </w:t>
      </w:r>
      <w:r>
        <w:rPr>
          <w:i/>
        </w:rPr>
        <w:t>Guardianship and Administration Act</w:t>
      </w:r>
      <w:r w:rsidR="001513B6">
        <w:rPr>
          <w:i/>
        </w:rPr>
        <w:t xml:space="preserve"> </w:t>
      </w:r>
      <w:r w:rsidR="00091CE6">
        <w:t>includes</w:t>
      </w:r>
      <w:r w:rsidR="00E16F04">
        <w:t xml:space="preserve"> principles that presume capacity, recognise the importance of human rights and that people should be supported to maximise their participation in </w:t>
      </w:r>
      <w:r w:rsidR="004E45F0">
        <w:t>decision-making</w:t>
      </w:r>
      <w:r w:rsidR="00E16F04">
        <w:t xml:space="preserve"> and minimise the use of substitute </w:t>
      </w:r>
      <w:r w:rsidR="004E45F0">
        <w:t>decision-making</w:t>
      </w:r>
      <w:r w:rsidR="00E16F04">
        <w:t>.</w:t>
      </w:r>
      <w:r w:rsidR="00E16F04">
        <w:rPr>
          <w:rStyle w:val="FootnoteReference"/>
        </w:rPr>
        <w:footnoteReference w:id="11"/>
      </w:r>
      <w:r w:rsidR="00E16F04">
        <w:t xml:space="preserve"> </w:t>
      </w:r>
    </w:p>
    <w:p w:rsidR="00614C22" w:rsidRDefault="005D7D8C" w:rsidP="0088073D">
      <w:r>
        <w:lastRenderedPageBreak/>
        <w:t xml:space="preserve">Another useful example is contained in the </w:t>
      </w:r>
      <w:r w:rsidR="0093621B">
        <w:t>principles suggested in the final report of the Victorian Law Reform Commission on Guardianship</w:t>
      </w:r>
      <w:r>
        <w:t>.</w:t>
      </w:r>
      <w:r w:rsidR="00B40345">
        <w:rPr>
          <w:rStyle w:val="FootnoteReference"/>
        </w:rPr>
        <w:footnoteReference w:id="12"/>
      </w:r>
      <w:r>
        <w:t xml:space="preserve"> These principles</w:t>
      </w:r>
      <w:r w:rsidR="008B7402">
        <w:t xml:space="preserve"> emphasise the dignity, human rights and fundamental freedoms of all people, the need to provide people with the support necessary for them to make, participate and implement decisions, take their wishes and preferences into account and</w:t>
      </w:r>
      <w:r>
        <w:t xml:space="preserve"> significantly, that all people are entitled to take reasonable risks and make choices that other people might disagree with.</w:t>
      </w:r>
      <w:r w:rsidR="008B7402">
        <w:rPr>
          <w:rStyle w:val="FootnoteReference"/>
        </w:rPr>
        <w:footnoteReference w:id="13"/>
      </w:r>
      <w:r w:rsidR="0093621B">
        <w:t xml:space="preserve"> </w:t>
      </w:r>
    </w:p>
    <w:p w:rsidR="00614C22" w:rsidRDefault="005D7D8C" w:rsidP="0088073D">
      <w:r>
        <w:t xml:space="preserve">It is important that </w:t>
      </w:r>
      <w:r w:rsidR="00B40345">
        <w:t xml:space="preserve">the NSW Law Reform Commission </w:t>
      </w:r>
      <w:r w:rsidR="0027402E">
        <w:t>considers the</w:t>
      </w:r>
      <w:r w:rsidR="007968FB">
        <w:t xml:space="preserve"> above examples</w:t>
      </w:r>
      <w:r w:rsidR="0027402E">
        <w:t xml:space="preserve"> and other e</w:t>
      </w:r>
      <w:r w:rsidR="007968FB">
        <w:t xml:space="preserve">xamples of principles that guide the implementation of </w:t>
      </w:r>
      <w:r w:rsidR="004E45F0">
        <w:t>decision-making</w:t>
      </w:r>
      <w:r w:rsidR="007968FB">
        <w:t xml:space="preserve"> frameworks. These examples should be drawn on </w:t>
      </w:r>
      <w:r w:rsidR="00953876">
        <w:t xml:space="preserve">to develop principles that will guide a framework that will enable all people to </w:t>
      </w:r>
      <w:r w:rsidR="00953876" w:rsidRPr="00E8780C">
        <w:t xml:space="preserve">make, </w:t>
      </w:r>
      <w:r w:rsidR="00953876">
        <w:t xml:space="preserve">communicate and participate in </w:t>
      </w:r>
      <w:r w:rsidR="00953876" w:rsidRPr="00E8780C">
        <w:t>de</w:t>
      </w:r>
      <w:r w:rsidR="00953876">
        <w:t>cisions that affect their lives.</w:t>
      </w:r>
    </w:p>
    <w:p w:rsidR="007968FB" w:rsidRPr="007968FB" w:rsidRDefault="00257ABB" w:rsidP="007968FB">
      <w:pPr>
        <w:pBdr>
          <w:top w:val="single" w:sz="4" w:space="1" w:color="auto"/>
          <w:left w:val="single" w:sz="4" w:space="4" w:color="auto"/>
          <w:bottom w:val="single" w:sz="4" w:space="1" w:color="auto"/>
          <w:right w:val="single" w:sz="4" w:space="4" w:color="auto"/>
        </w:pBdr>
        <w:autoSpaceDE w:val="0"/>
        <w:autoSpaceDN w:val="0"/>
        <w:adjustRightInd w:val="0"/>
        <w:spacing w:before="0" w:after="0"/>
        <w:rPr>
          <w:b/>
        </w:rPr>
      </w:pPr>
      <w:r>
        <w:rPr>
          <w:b/>
        </w:rPr>
        <w:t>Recommendation 4</w:t>
      </w:r>
      <w:r w:rsidR="007968FB" w:rsidRPr="007968FB">
        <w:rPr>
          <w:b/>
        </w:rPr>
        <w:t xml:space="preserve">: </w:t>
      </w:r>
      <w:r w:rsidR="007968FB">
        <w:rPr>
          <w:b/>
        </w:rPr>
        <w:t xml:space="preserve">The </w:t>
      </w:r>
      <w:r w:rsidR="004E45F0">
        <w:rPr>
          <w:b/>
        </w:rPr>
        <w:t>decision-making</w:t>
      </w:r>
      <w:r w:rsidR="007968FB">
        <w:rPr>
          <w:b/>
        </w:rPr>
        <w:t xml:space="preserve"> framework should be underpinned by </w:t>
      </w:r>
      <w:r w:rsidR="007968FB" w:rsidRPr="007968FB">
        <w:rPr>
          <w:b/>
        </w:rPr>
        <w:t>principles that are more expansive, comprehensive and human rights centred than the current general principles in section 4 of the Guardianship Act</w:t>
      </w:r>
      <w:r w:rsidR="00156AAE">
        <w:rPr>
          <w:b/>
        </w:rPr>
        <w:t>.</w:t>
      </w:r>
    </w:p>
    <w:p w:rsidR="000E5039" w:rsidRDefault="000E5039" w:rsidP="00F63267">
      <w:pPr>
        <w:autoSpaceDE w:val="0"/>
        <w:autoSpaceDN w:val="0"/>
        <w:adjustRightInd w:val="0"/>
        <w:spacing w:before="0" w:after="0"/>
        <w:rPr>
          <w:rFonts w:ascii="Calibri,Italic" w:hAnsi="Calibri,Italic" w:cs="Calibri,Italic"/>
          <w:iCs/>
          <w:sz w:val="22"/>
          <w:szCs w:val="22"/>
          <w:u w:val="single"/>
        </w:rPr>
      </w:pPr>
    </w:p>
    <w:p w:rsidR="0080349E" w:rsidRDefault="00F4322D" w:rsidP="006300A8">
      <w:pPr>
        <w:pStyle w:val="Heading2"/>
      </w:pPr>
      <w:bookmarkStart w:id="28" w:name="_Toc446329118"/>
      <w:r>
        <w:t xml:space="preserve">Assessment of </w:t>
      </w:r>
      <w:r w:rsidR="004E45F0">
        <w:t>decision-making</w:t>
      </w:r>
      <w:r w:rsidR="00A90C5F">
        <w:t xml:space="preserve"> ability</w:t>
      </w:r>
      <w:r>
        <w:t xml:space="preserve"> that </w:t>
      </w:r>
      <w:r w:rsidR="00812D56">
        <w:t>allow</w:t>
      </w:r>
      <w:r>
        <w:t>s</w:t>
      </w:r>
      <w:r w:rsidR="00A90C5F">
        <w:t xml:space="preserve"> for the reality that </w:t>
      </w:r>
      <w:r w:rsidR="004E45F0">
        <w:t>decision-making</w:t>
      </w:r>
      <w:r w:rsidR="00A90C5F">
        <w:t xml:space="preserve"> ability </w:t>
      </w:r>
      <w:r w:rsidR="00250976" w:rsidRPr="00250976">
        <w:t>is decision-specific and can change over time</w:t>
      </w:r>
      <w:bookmarkEnd w:id="28"/>
    </w:p>
    <w:p w:rsidR="008D5DB5" w:rsidRPr="00D046FE" w:rsidRDefault="00953876" w:rsidP="00D046FE">
      <w:pPr>
        <w:autoSpaceDE w:val="0"/>
        <w:autoSpaceDN w:val="0"/>
        <w:adjustRightInd w:val="0"/>
        <w:spacing w:before="0" w:after="0"/>
        <w:rPr>
          <w:rFonts w:ascii="Times New Roman" w:hAnsi="Times New Roman"/>
          <w:sz w:val="21"/>
          <w:szCs w:val="21"/>
        </w:rPr>
      </w:pPr>
      <w:r>
        <w:t xml:space="preserve">The ability to make decisions is a fluid concept that may vary from time to time and from decision to decision. </w:t>
      </w:r>
      <w:r w:rsidR="00E307DF">
        <w:t xml:space="preserve">It is fundamentally important that </w:t>
      </w:r>
      <w:r w:rsidR="00F4322D">
        <w:t xml:space="preserve">assessments of </w:t>
      </w:r>
      <w:r w:rsidR="004E45F0">
        <w:t>decision-making</w:t>
      </w:r>
      <w:r w:rsidR="008D5DB5">
        <w:t xml:space="preserve"> </w:t>
      </w:r>
      <w:r w:rsidR="006604F7">
        <w:t>ability are</w:t>
      </w:r>
      <w:r w:rsidR="00F4322D">
        <w:t xml:space="preserve"> not based on a person’</w:t>
      </w:r>
      <w:r w:rsidR="00DD0A7C">
        <w:t xml:space="preserve">s disability but on a proper inquiry into </w:t>
      </w:r>
      <w:r w:rsidR="002818CB">
        <w:t xml:space="preserve">a person’s ability to make specific decisions. </w:t>
      </w:r>
      <w:r w:rsidR="00A90C5F">
        <w:t>The term “</w:t>
      </w:r>
      <w:r w:rsidR="004E45F0">
        <w:t>decision-making</w:t>
      </w:r>
      <w:r w:rsidR="00A90C5F">
        <w:t xml:space="preserve"> ability</w:t>
      </w:r>
      <w:r w:rsidR="007E5126">
        <w:t>” is deliberately used here. A</w:t>
      </w:r>
      <w:r w:rsidR="008D5DB5">
        <w:t xml:space="preserve">s suggested by the </w:t>
      </w:r>
      <w:r w:rsidR="00331236">
        <w:t>ALRC</w:t>
      </w:r>
      <w:r w:rsidR="008D5DB5">
        <w:t xml:space="preserve">, this directs reform towards supported </w:t>
      </w:r>
      <w:r w:rsidR="004E45F0">
        <w:t>decision-making</w:t>
      </w:r>
      <w:r w:rsidR="008D5DB5">
        <w:t xml:space="preserve"> and removes connotations of previous </w:t>
      </w:r>
      <w:r w:rsidR="004E45F0">
        <w:t>decision-making</w:t>
      </w:r>
      <w:r w:rsidR="008D5DB5">
        <w:t xml:space="preserve"> regimes.</w:t>
      </w:r>
      <w:r w:rsidR="00331236">
        <w:rPr>
          <w:rStyle w:val="FootnoteReference"/>
        </w:rPr>
        <w:footnoteReference w:id="14"/>
      </w:r>
      <w:r w:rsidR="008D5DB5">
        <w:t xml:space="preserve"> </w:t>
      </w:r>
      <w:r w:rsidR="00D046FE">
        <w:t>This is more appropriate than “</w:t>
      </w:r>
      <w:r w:rsidR="004E45F0">
        <w:t>decision-making</w:t>
      </w:r>
      <w:r w:rsidR="00D046FE">
        <w:t xml:space="preserve"> capacity” as “ability” has more positive co</w:t>
      </w:r>
      <w:r w:rsidR="007E5126">
        <w:t>nnotations and reduces the chanc</w:t>
      </w:r>
      <w:r w:rsidR="00D046FE">
        <w:t xml:space="preserve">e of confusion with the concepts of legal capacity and mental capacity which are very different </w:t>
      </w:r>
      <w:r w:rsidR="00273C9F">
        <w:t xml:space="preserve">to </w:t>
      </w:r>
      <w:r w:rsidR="004E45F0">
        <w:t>decision-making</w:t>
      </w:r>
      <w:r w:rsidR="00273C9F">
        <w:t xml:space="preserve"> ability</w:t>
      </w:r>
      <w:r w:rsidR="00D046FE">
        <w:t xml:space="preserve">. </w:t>
      </w:r>
    </w:p>
    <w:p w:rsidR="00A014E6" w:rsidRDefault="004847E8" w:rsidP="00A014E6">
      <w:r>
        <w:t xml:space="preserve">The </w:t>
      </w:r>
      <w:r w:rsidR="004E45F0">
        <w:t>decision-making</w:t>
      </w:r>
      <w:r>
        <w:t xml:space="preserve"> framework should establish principles and a process for assessing </w:t>
      </w:r>
      <w:r w:rsidR="004E45F0">
        <w:t>decision-making</w:t>
      </w:r>
      <w:r>
        <w:t xml:space="preserve"> ability. </w:t>
      </w:r>
      <w:r w:rsidR="002818CB">
        <w:t xml:space="preserve">The final report of the Victorian Law Reform Commission on Guardianship recommended that </w:t>
      </w:r>
      <w:r w:rsidR="00CB6E9B">
        <w:t xml:space="preserve">Guardianship legislation should contain the following </w:t>
      </w:r>
      <w:r w:rsidR="004E45F0">
        <w:t>decision-making</w:t>
      </w:r>
      <w:r w:rsidR="008D5DB5">
        <w:t xml:space="preserve"> </w:t>
      </w:r>
      <w:r w:rsidR="00CB6E9B">
        <w:t>assessment principles:</w:t>
      </w:r>
    </w:p>
    <w:p w:rsidR="00A014E6" w:rsidRDefault="00A014E6" w:rsidP="00A014E6">
      <w:pPr>
        <w:pStyle w:val="ListParagraph"/>
        <w:numPr>
          <w:ilvl w:val="0"/>
          <w:numId w:val="38"/>
        </w:numPr>
        <w:rPr>
          <w:rFonts w:eastAsia="Meiryo"/>
        </w:rPr>
      </w:pPr>
      <w:r w:rsidRPr="00A014E6">
        <w:rPr>
          <w:rFonts w:eastAsia="Meiryo"/>
        </w:rPr>
        <w:t xml:space="preserve">A person’s </w:t>
      </w:r>
      <w:r w:rsidR="004E45F0">
        <w:rPr>
          <w:rFonts w:eastAsia="Meiryo"/>
        </w:rPr>
        <w:t>decision-making</w:t>
      </w:r>
      <w:r w:rsidR="008D5DB5">
        <w:rPr>
          <w:rFonts w:eastAsia="Meiryo"/>
        </w:rPr>
        <w:t xml:space="preserve"> ability</w:t>
      </w:r>
      <w:r w:rsidRPr="00A014E6">
        <w:rPr>
          <w:rFonts w:eastAsia="Meiryo"/>
        </w:rPr>
        <w:t xml:space="preserve"> is specific to the decision to be made.</w:t>
      </w:r>
    </w:p>
    <w:p w:rsidR="00A014E6" w:rsidRDefault="00A014E6" w:rsidP="00A014E6">
      <w:pPr>
        <w:pStyle w:val="ListParagraph"/>
        <w:numPr>
          <w:ilvl w:val="0"/>
          <w:numId w:val="38"/>
        </w:numPr>
        <w:rPr>
          <w:rFonts w:eastAsia="Meiryo"/>
        </w:rPr>
      </w:pPr>
      <w:r w:rsidRPr="00A014E6">
        <w:rPr>
          <w:rFonts w:eastAsia="Meiryo"/>
        </w:rPr>
        <w:t xml:space="preserve">Impaired </w:t>
      </w:r>
      <w:r w:rsidR="004E45F0">
        <w:rPr>
          <w:rFonts w:eastAsia="Meiryo"/>
        </w:rPr>
        <w:t>decision-making</w:t>
      </w:r>
      <w:r w:rsidRPr="00A014E6">
        <w:rPr>
          <w:rFonts w:eastAsia="Meiryo"/>
        </w:rPr>
        <w:t xml:space="preserve"> capacity may be temporary or permanent and can fluctuate over time.</w:t>
      </w:r>
    </w:p>
    <w:p w:rsidR="00A014E6" w:rsidRDefault="00A014E6" w:rsidP="00A014E6">
      <w:pPr>
        <w:pStyle w:val="ListParagraph"/>
        <w:numPr>
          <w:ilvl w:val="0"/>
          <w:numId w:val="38"/>
        </w:numPr>
        <w:rPr>
          <w:rFonts w:eastAsia="Meiryo"/>
        </w:rPr>
      </w:pPr>
      <w:r w:rsidRPr="00A014E6">
        <w:rPr>
          <w:rFonts w:eastAsia="Meiryo"/>
        </w:rPr>
        <w:t xml:space="preserve">An adult’s </w:t>
      </w:r>
      <w:r w:rsidR="008D5DB5">
        <w:rPr>
          <w:rFonts w:eastAsia="Meiryo"/>
        </w:rPr>
        <w:t xml:space="preserve">inability </w:t>
      </w:r>
      <w:r w:rsidRPr="00A014E6">
        <w:rPr>
          <w:rFonts w:eastAsia="Meiryo"/>
        </w:rPr>
        <w:t>to make a decision should not be assumed based on their age, appearance, condition, or an aspect of their behaviour.</w:t>
      </w:r>
    </w:p>
    <w:p w:rsidR="00A014E6" w:rsidRDefault="00A014E6" w:rsidP="00A014E6">
      <w:pPr>
        <w:pStyle w:val="ListParagraph"/>
        <w:numPr>
          <w:ilvl w:val="0"/>
          <w:numId w:val="38"/>
        </w:numPr>
        <w:rPr>
          <w:rFonts w:eastAsia="Meiryo"/>
        </w:rPr>
      </w:pPr>
      <w:r w:rsidRPr="00A014E6">
        <w:rPr>
          <w:rFonts w:eastAsia="Meiryo"/>
        </w:rPr>
        <w:t xml:space="preserve">A person should not be considered to lack the </w:t>
      </w:r>
      <w:r w:rsidR="008D5DB5">
        <w:rPr>
          <w:rFonts w:eastAsia="Meiryo"/>
        </w:rPr>
        <w:t xml:space="preserve">ability </w:t>
      </w:r>
      <w:r w:rsidRPr="00A014E6">
        <w:rPr>
          <w:rFonts w:eastAsia="Meiryo"/>
        </w:rPr>
        <w:t>to make a decision merely because they make a decision that others consider to be unwise.</w:t>
      </w:r>
    </w:p>
    <w:p w:rsidR="00A014E6" w:rsidRDefault="00A014E6" w:rsidP="00A014E6">
      <w:pPr>
        <w:pStyle w:val="ListParagraph"/>
        <w:numPr>
          <w:ilvl w:val="0"/>
          <w:numId w:val="38"/>
        </w:numPr>
        <w:rPr>
          <w:rFonts w:eastAsia="Meiryo"/>
        </w:rPr>
      </w:pPr>
      <w:r w:rsidRPr="00A014E6">
        <w:rPr>
          <w:rFonts w:eastAsia="Meiryo"/>
        </w:rPr>
        <w:lastRenderedPageBreak/>
        <w:t xml:space="preserve">A person should not be considered to lack the </w:t>
      </w:r>
      <w:r w:rsidR="008D5DB5">
        <w:rPr>
          <w:rFonts w:eastAsia="Meiryo"/>
        </w:rPr>
        <w:t>ability</w:t>
      </w:r>
      <w:r w:rsidRPr="00A014E6">
        <w:rPr>
          <w:rFonts w:eastAsia="Meiryo"/>
        </w:rPr>
        <w:t xml:space="preserve"> to make a decision if it is possible for them to make that decision with appropriate support.</w:t>
      </w:r>
    </w:p>
    <w:p w:rsidR="00A014E6" w:rsidRPr="00A014E6" w:rsidRDefault="00A014E6" w:rsidP="00A014E6">
      <w:pPr>
        <w:pStyle w:val="ListParagraph"/>
        <w:numPr>
          <w:ilvl w:val="0"/>
          <w:numId w:val="38"/>
        </w:numPr>
        <w:rPr>
          <w:rFonts w:eastAsia="Meiryo"/>
        </w:rPr>
      </w:pPr>
      <w:r w:rsidRPr="00A014E6">
        <w:rPr>
          <w:rFonts w:eastAsia="Meiryo"/>
        </w:rPr>
        <w:t xml:space="preserve">When assessing a person’s </w:t>
      </w:r>
      <w:r w:rsidR="004E45F0">
        <w:rPr>
          <w:rFonts w:eastAsia="Meiryo"/>
        </w:rPr>
        <w:t>decision-making</w:t>
      </w:r>
      <w:r w:rsidR="008D5DB5">
        <w:rPr>
          <w:rFonts w:eastAsia="Meiryo"/>
        </w:rPr>
        <w:t xml:space="preserve"> ability</w:t>
      </w:r>
      <w:r w:rsidRPr="00A014E6">
        <w:rPr>
          <w:rFonts w:eastAsia="Meiryo"/>
        </w:rPr>
        <w:t xml:space="preserve">, every attempt should be made to ensure that the assessment occurs at a time and in an environment in which their </w:t>
      </w:r>
      <w:r w:rsidR="004E45F0">
        <w:rPr>
          <w:rFonts w:eastAsia="Meiryo"/>
        </w:rPr>
        <w:t>decision-making</w:t>
      </w:r>
      <w:r w:rsidR="008D5DB5">
        <w:rPr>
          <w:rFonts w:eastAsia="Meiryo"/>
        </w:rPr>
        <w:t xml:space="preserve"> ability</w:t>
      </w:r>
      <w:r w:rsidRPr="00A014E6">
        <w:rPr>
          <w:rFonts w:eastAsia="Meiryo"/>
        </w:rPr>
        <w:t xml:space="preserve"> can most accurately be assessed.</w:t>
      </w:r>
      <w:r>
        <w:rPr>
          <w:rStyle w:val="FootnoteReference"/>
          <w:rFonts w:eastAsia="Meiryo"/>
        </w:rPr>
        <w:footnoteReference w:id="15"/>
      </w:r>
    </w:p>
    <w:p w:rsidR="00346FC1" w:rsidRDefault="00947615" w:rsidP="00250976">
      <w:r>
        <w:t xml:space="preserve">These principles reflect the fluid nature of </w:t>
      </w:r>
      <w:r w:rsidR="004E45F0">
        <w:t>decision-making</w:t>
      </w:r>
      <w:r w:rsidR="008D5DB5">
        <w:t xml:space="preserve"> ability</w:t>
      </w:r>
      <w:r>
        <w:t xml:space="preserve"> and may help to ensure that any limitations on </w:t>
      </w:r>
      <w:r w:rsidR="004E45F0">
        <w:t>decision-making</w:t>
      </w:r>
      <w:r w:rsidR="00A90C5F">
        <w:t xml:space="preserve"> are proportionate, that is, limited in scope or targeted to the specific issues or issues of concern, and time-limited to the period in which support is required. </w:t>
      </w:r>
    </w:p>
    <w:p w:rsidR="006604F7" w:rsidRDefault="008D5DB5" w:rsidP="00250976">
      <w:r>
        <w:t xml:space="preserve">It is also important that legislation does not specify impairment or disability as a threshold or essential basis for </w:t>
      </w:r>
      <w:r w:rsidR="006604F7">
        <w:t>application</w:t>
      </w:r>
      <w:r w:rsidR="00346FC1">
        <w:t xml:space="preserve">. </w:t>
      </w:r>
      <w:r w:rsidR="006604F7">
        <w:t xml:space="preserve"> </w:t>
      </w:r>
      <w:r w:rsidR="00346FC1">
        <w:t>This is inconsistent with the UNCRP</w:t>
      </w:r>
      <w:r w:rsidR="007E5126">
        <w:t>D</w:t>
      </w:r>
      <w:r w:rsidR="00346FC1">
        <w:t xml:space="preserve"> as it disqualifies or limits the exercise of legal capacity because of a particular status (disability).</w:t>
      </w:r>
      <w:r w:rsidR="00346FC1">
        <w:rPr>
          <w:rStyle w:val="FootnoteReference"/>
        </w:rPr>
        <w:footnoteReference w:id="16"/>
      </w:r>
      <w:r w:rsidR="00346FC1">
        <w:t xml:space="preserve"> It would be more appropriate to use the term “</w:t>
      </w:r>
      <w:r w:rsidR="004E45F0">
        <w:t>decision-making</w:t>
      </w:r>
      <w:r w:rsidR="00346FC1">
        <w:t xml:space="preserve"> ability” in the guardianship and financial management regime rather than disability or </w:t>
      </w:r>
      <w:r w:rsidR="004E45F0">
        <w:t>decision-making</w:t>
      </w:r>
      <w:r w:rsidR="00346FC1">
        <w:t xml:space="preserve"> capacity as recommended in the terms of reference. </w:t>
      </w:r>
    </w:p>
    <w:p w:rsidR="006604F7" w:rsidRDefault="00257ABB" w:rsidP="00A135CA">
      <w:pPr>
        <w:pBdr>
          <w:top w:val="single" w:sz="4" w:space="1" w:color="auto"/>
          <w:left w:val="single" w:sz="4" w:space="4" w:color="auto"/>
          <w:bottom w:val="single" w:sz="4" w:space="1" w:color="auto"/>
          <w:right w:val="single" w:sz="4" w:space="4" w:color="auto"/>
        </w:pBdr>
        <w:autoSpaceDE w:val="0"/>
        <w:autoSpaceDN w:val="0"/>
        <w:adjustRightInd w:val="0"/>
        <w:spacing w:before="0" w:after="0"/>
        <w:rPr>
          <w:b/>
        </w:rPr>
      </w:pPr>
      <w:r>
        <w:rPr>
          <w:b/>
        </w:rPr>
        <w:t>Recommendation 5</w:t>
      </w:r>
      <w:r w:rsidR="00A135CA">
        <w:rPr>
          <w:b/>
        </w:rPr>
        <w:t xml:space="preserve">: </w:t>
      </w:r>
      <w:r w:rsidR="00A135CA" w:rsidRPr="00A135CA">
        <w:rPr>
          <w:b/>
        </w:rPr>
        <w:t xml:space="preserve">The </w:t>
      </w:r>
      <w:r w:rsidR="004E45F0">
        <w:rPr>
          <w:b/>
        </w:rPr>
        <w:t>decision-making</w:t>
      </w:r>
      <w:r w:rsidR="00A135CA" w:rsidRPr="00A135CA">
        <w:rPr>
          <w:b/>
        </w:rPr>
        <w:t xml:space="preserve"> framework should establish principles and a process for assessing </w:t>
      </w:r>
      <w:r w:rsidR="004E45F0">
        <w:rPr>
          <w:b/>
        </w:rPr>
        <w:t>decision-making</w:t>
      </w:r>
      <w:r w:rsidR="00A135CA" w:rsidRPr="00A135CA">
        <w:rPr>
          <w:b/>
        </w:rPr>
        <w:t xml:space="preserve"> ability</w:t>
      </w:r>
      <w:r w:rsidR="00A135CA">
        <w:rPr>
          <w:b/>
        </w:rPr>
        <w:t xml:space="preserve"> </w:t>
      </w:r>
      <w:r w:rsidR="00A135CA" w:rsidRPr="00A135CA">
        <w:rPr>
          <w:b/>
        </w:rPr>
        <w:t xml:space="preserve">that allows for the reality that </w:t>
      </w:r>
      <w:r w:rsidR="004E45F0">
        <w:rPr>
          <w:b/>
        </w:rPr>
        <w:t>decision-making</w:t>
      </w:r>
      <w:r w:rsidR="00A135CA" w:rsidRPr="00A135CA">
        <w:rPr>
          <w:b/>
        </w:rPr>
        <w:t xml:space="preserve"> ability is decision-specific and can change over time</w:t>
      </w:r>
      <w:r w:rsidR="0060607B">
        <w:rPr>
          <w:b/>
        </w:rPr>
        <w:t>.</w:t>
      </w:r>
    </w:p>
    <w:p w:rsidR="00273C9F" w:rsidRDefault="00273C9F" w:rsidP="00A135CA">
      <w:pPr>
        <w:pBdr>
          <w:top w:val="single" w:sz="4" w:space="1" w:color="auto"/>
          <w:left w:val="single" w:sz="4" w:space="4" w:color="auto"/>
          <w:bottom w:val="single" w:sz="4" w:space="1" w:color="auto"/>
          <w:right w:val="single" w:sz="4" w:space="4" w:color="auto"/>
        </w:pBdr>
        <w:autoSpaceDE w:val="0"/>
        <w:autoSpaceDN w:val="0"/>
        <w:adjustRightInd w:val="0"/>
        <w:spacing w:before="0" w:after="0"/>
        <w:rPr>
          <w:b/>
        </w:rPr>
      </w:pPr>
    </w:p>
    <w:p w:rsidR="00273C9F" w:rsidRPr="00A135CA" w:rsidRDefault="00273C9F" w:rsidP="00A135CA">
      <w:pPr>
        <w:pBdr>
          <w:top w:val="single" w:sz="4" w:space="1" w:color="auto"/>
          <w:left w:val="single" w:sz="4" w:space="4" w:color="auto"/>
          <w:bottom w:val="single" w:sz="4" w:space="1" w:color="auto"/>
          <w:right w:val="single" w:sz="4" w:space="4" w:color="auto"/>
        </w:pBdr>
        <w:autoSpaceDE w:val="0"/>
        <w:autoSpaceDN w:val="0"/>
        <w:adjustRightInd w:val="0"/>
        <w:spacing w:before="0" w:after="0"/>
        <w:rPr>
          <w:b/>
        </w:rPr>
      </w:pPr>
      <w:r>
        <w:rPr>
          <w:b/>
        </w:rPr>
        <w:t xml:space="preserve">Recommendation </w:t>
      </w:r>
      <w:r w:rsidR="00257ABB">
        <w:rPr>
          <w:b/>
        </w:rPr>
        <w:t>6</w:t>
      </w:r>
      <w:r>
        <w:rPr>
          <w:b/>
        </w:rPr>
        <w:t xml:space="preserve">: The </w:t>
      </w:r>
      <w:r w:rsidR="004E45F0">
        <w:rPr>
          <w:b/>
        </w:rPr>
        <w:t>decision-making</w:t>
      </w:r>
      <w:r>
        <w:rPr>
          <w:b/>
        </w:rPr>
        <w:t xml:space="preserve"> framework should use the term “</w:t>
      </w:r>
      <w:r w:rsidR="004E45F0">
        <w:rPr>
          <w:b/>
        </w:rPr>
        <w:t>decision-making</w:t>
      </w:r>
      <w:r>
        <w:rPr>
          <w:b/>
        </w:rPr>
        <w:t xml:space="preserve"> ability” rather than disability or </w:t>
      </w:r>
      <w:r w:rsidR="004E45F0">
        <w:rPr>
          <w:b/>
        </w:rPr>
        <w:t>decision-making</w:t>
      </w:r>
      <w:r>
        <w:rPr>
          <w:b/>
        </w:rPr>
        <w:t xml:space="preserve"> capacity</w:t>
      </w:r>
    </w:p>
    <w:p w:rsidR="008455CB" w:rsidRDefault="001C3532" w:rsidP="006300A8">
      <w:pPr>
        <w:pStyle w:val="Heading2"/>
      </w:pPr>
      <w:bookmarkStart w:id="29" w:name="_Toc446329119"/>
      <w:r>
        <w:t>Clarity</w:t>
      </w:r>
      <w:r w:rsidR="008455CB">
        <w:t xml:space="preserve"> about </w:t>
      </w:r>
      <w:r w:rsidR="008455CB" w:rsidRPr="00D21D4F">
        <w:t>the relationship between guardianship law in NSW and the NDIS nominee scheme and other Commonwealth schemes</w:t>
      </w:r>
      <w:bookmarkEnd w:id="29"/>
    </w:p>
    <w:p w:rsidR="008455CB" w:rsidRDefault="0060607B" w:rsidP="008455CB">
      <w:r>
        <w:t xml:space="preserve">Current laws relating to </w:t>
      </w:r>
      <w:r w:rsidR="004E45F0">
        <w:t>decision-making</w:t>
      </w:r>
      <w:r>
        <w:t xml:space="preserve"> across Australia are complex because they permit a range of substitute </w:t>
      </w:r>
      <w:r w:rsidR="004E45F0">
        <w:t>decision-making</w:t>
      </w:r>
      <w:r>
        <w:t xml:space="preserve"> appointments under different legislative schemes.</w:t>
      </w:r>
      <w:r w:rsidR="00FF23FF">
        <w:t xml:space="preserve"> The NSW </w:t>
      </w:r>
      <w:r w:rsidR="004E45F0">
        <w:t>decision-making</w:t>
      </w:r>
      <w:r w:rsidR="00FF23FF">
        <w:t xml:space="preserve"> framework </w:t>
      </w:r>
      <w:r w:rsidR="003C4CD2">
        <w:t>should</w:t>
      </w:r>
      <w:r w:rsidR="00FF23FF">
        <w:t xml:space="preserve"> clearly </w:t>
      </w:r>
      <w:r w:rsidR="00183B12">
        <w:t xml:space="preserve">outline how it interacts with and </w:t>
      </w:r>
      <w:r w:rsidR="007239A6">
        <w:t xml:space="preserve">relates to </w:t>
      </w:r>
      <w:r w:rsidR="00331236">
        <w:t xml:space="preserve">the NDIS nominee scheme and other Commonwealth schemes. </w:t>
      </w:r>
    </w:p>
    <w:p w:rsidR="00C46576" w:rsidRDefault="005D6BF0" w:rsidP="00594257">
      <w:r>
        <w:t xml:space="preserve">There is a potential for conflict between the NDIS Nominee Scheme and a state based </w:t>
      </w:r>
      <w:r w:rsidR="004E45F0">
        <w:t>decision-making</w:t>
      </w:r>
      <w:r w:rsidR="00594257">
        <w:t xml:space="preserve"> framework that emphasises supported </w:t>
      </w:r>
      <w:r w:rsidR="004E45F0">
        <w:t>decision-making</w:t>
      </w:r>
      <w:r w:rsidR="00594257">
        <w:t xml:space="preserve"> and only employs substitute </w:t>
      </w:r>
      <w:r w:rsidR="004E45F0">
        <w:t>decision-making</w:t>
      </w:r>
      <w:r w:rsidR="00594257">
        <w:t xml:space="preserve"> as a last resort. Section 86 of the </w:t>
      </w:r>
      <w:r w:rsidR="00594257">
        <w:rPr>
          <w:i/>
        </w:rPr>
        <w:t>National Disability Insurance Scheme Act</w:t>
      </w:r>
      <w:r w:rsidR="00594257">
        <w:t xml:space="preserve"> 2013 allows the National Disability Insurance Agency (NDIA) to appoint a plan nominee to act for a participant on request of a participant or on the NDIA’s own motion. Under section</w:t>
      </w:r>
      <w:r w:rsidR="00C46576">
        <w:t xml:space="preserve"> 78</w:t>
      </w:r>
      <w:r w:rsidR="00594257">
        <w:t>, a plan nominee can do anything relating to the preparation, review or replacement of the participant's plan; or the management of the funding for supports under the participant's plan</w:t>
      </w:r>
      <w:r w:rsidR="00594257">
        <w:rPr>
          <w:rStyle w:val="FootnoteReference"/>
        </w:rPr>
        <w:footnoteReference w:id="17"/>
      </w:r>
      <w:r w:rsidR="00674CAA">
        <w:t xml:space="preserve"> </w:t>
      </w:r>
      <w:r w:rsidR="00C46576">
        <w:t>that the nominee considers the participant is not capable of doing.</w:t>
      </w:r>
      <w:r w:rsidR="003C4CD2">
        <w:t xml:space="preserve"> </w:t>
      </w:r>
    </w:p>
    <w:p w:rsidR="00594257" w:rsidRPr="00D82D89" w:rsidRDefault="00674CAA" w:rsidP="00594257">
      <w:r>
        <w:t xml:space="preserve">This a very wide scope that may be greater than what a supporter or representative may have under informal or formal state-based arrangements. </w:t>
      </w:r>
      <w:r w:rsidR="00CB4B2B">
        <w:t xml:space="preserve">There may be a need for legislative provisions to clarify who can be appointed as an NDIS nominee and what </w:t>
      </w:r>
      <w:r w:rsidR="00C46576">
        <w:t xml:space="preserve">steps </w:t>
      </w:r>
      <w:r w:rsidR="00C46576">
        <w:lastRenderedPageBreak/>
        <w:t>they must take to involve the participant</w:t>
      </w:r>
      <w:r w:rsidR="003C4CD2">
        <w:t xml:space="preserve"> and recognise their </w:t>
      </w:r>
      <w:r w:rsidR="004E45F0">
        <w:t>decision-making</w:t>
      </w:r>
      <w:r w:rsidR="003C4CD2">
        <w:t xml:space="preserve"> ability</w:t>
      </w:r>
      <w:r w:rsidR="00C46576">
        <w:t xml:space="preserve"> as much as possible as part of their role as a nominee. These may also need to clarify how a nominee is to decide whether a person is capable of doing things relating to the preparation, review or replacement of their plan or the management of their plan. It is also important to </w:t>
      </w:r>
      <w:r w:rsidR="00D82D89">
        <w:t>note that an</w:t>
      </w:r>
      <w:r w:rsidR="00C46576">
        <w:t xml:space="preserve"> independent review of the </w:t>
      </w:r>
      <w:r w:rsidR="00C46576" w:rsidRPr="00D82D89">
        <w:rPr>
          <w:i/>
        </w:rPr>
        <w:t xml:space="preserve">NDIS </w:t>
      </w:r>
      <w:r w:rsidR="003C4CD2" w:rsidRPr="00D82D89">
        <w:rPr>
          <w:i/>
        </w:rPr>
        <w:t>Ac</w:t>
      </w:r>
      <w:r w:rsidR="003C4CD2">
        <w:rPr>
          <w:i/>
        </w:rPr>
        <w:t>t</w:t>
      </w:r>
      <w:r w:rsidR="003C4CD2">
        <w:t xml:space="preserve"> took</w:t>
      </w:r>
      <w:r w:rsidR="00C46576">
        <w:t xml:space="preserve"> place in late 2015</w:t>
      </w:r>
      <w:r w:rsidR="00D82D89">
        <w:rPr>
          <w:rStyle w:val="FootnoteReference"/>
        </w:rPr>
        <w:footnoteReference w:id="18"/>
      </w:r>
      <w:r w:rsidR="00C46576">
        <w:t xml:space="preserve"> </w:t>
      </w:r>
      <w:r w:rsidR="00D82D89">
        <w:t xml:space="preserve">and the </w:t>
      </w:r>
      <w:r w:rsidR="00D82D89">
        <w:rPr>
          <w:i/>
        </w:rPr>
        <w:t>NDIS Act</w:t>
      </w:r>
      <w:r w:rsidR="007E5126">
        <w:t xml:space="preserve"> may imminently change</w:t>
      </w:r>
      <w:r w:rsidR="00D82D89">
        <w:t xml:space="preserve"> in response to the recommendations of this review. </w:t>
      </w:r>
    </w:p>
    <w:p w:rsidR="00021DE9" w:rsidRDefault="00021DE9" w:rsidP="00021DE9">
      <w:r>
        <w:t xml:space="preserve">The ALRC has recommended that all state and territory governments review legislation that deals with </w:t>
      </w:r>
      <w:r w:rsidR="004E45F0">
        <w:t>decision-making</w:t>
      </w:r>
      <w:r>
        <w:t xml:space="preserve"> to ensure consistency with the National </w:t>
      </w:r>
      <w:r w:rsidR="004E45F0">
        <w:t>Decision-making</w:t>
      </w:r>
      <w:r>
        <w:t xml:space="preserve"> Principles and the Commonwealth </w:t>
      </w:r>
      <w:r w:rsidR="004E45F0">
        <w:t>Decision-making</w:t>
      </w:r>
      <w:r>
        <w:t xml:space="preserve"> Model that emphasises a supporter and representative scheme rather than substitute </w:t>
      </w:r>
      <w:r w:rsidR="004E45F0">
        <w:t>decision-making</w:t>
      </w:r>
      <w:r>
        <w:t xml:space="preserve">. It is important the NSW Law Reform Commission, in the first instance, considers this scheme as other jurisdictions are likely to review their </w:t>
      </w:r>
      <w:r w:rsidR="004E45F0">
        <w:t>decision-making</w:t>
      </w:r>
      <w:r>
        <w:t xml:space="preserve"> regimes and use the recommended</w:t>
      </w:r>
      <w:r w:rsidR="003C4CD2">
        <w:t xml:space="preserve"> principles and model</w:t>
      </w:r>
      <w:r w:rsidR="00D82D89">
        <w:t xml:space="preserve"> to inform any new </w:t>
      </w:r>
      <w:r w:rsidR="004E45F0">
        <w:t>decision-making</w:t>
      </w:r>
      <w:r w:rsidR="00D82D89">
        <w:t xml:space="preserve"> regimes. This </w:t>
      </w:r>
      <w:r w:rsidR="003C4CD2">
        <w:t xml:space="preserve">may contribute to greater consistency and cross-jurisdictional recognition of </w:t>
      </w:r>
      <w:r w:rsidR="004E45F0">
        <w:t>decision-making</w:t>
      </w:r>
      <w:r w:rsidR="003C4CD2">
        <w:t xml:space="preserve"> arrangements.</w:t>
      </w:r>
    </w:p>
    <w:p w:rsidR="0088266F" w:rsidRDefault="00257ABB" w:rsidP="003C4CD2">
      <w:pPr>
        <w:pBdr>
          <w:top w:val="single" w:sz="4" w:space="1" w:color="auto"/>
          <w:left w:val="single" w:sz="4" w:space="4" w:color="auto"/>
          <w:bottom w:val="single" w:sz="4" w:space="1" w:color="auto"/>
          <w:right w:val="single" w:sz="4" w:space="4" w:color="auto"/>
        </w:pBdr>
        <w:autoSpaceDE w:val="0"/>
        <w:autoSpaceDN w:val="0"/>
        <w:adjustRightInd w:val="0"/>
        <w:spacing w:before="0" w:after="0"/>
        <w:rPr>
          <w:rFonts w:ascii="Times New Roman" w:hAnsi="Times New Roman"/>
          <w:sz w:val="21"/>
          <w:szCs w:val="21"/>
        </w:rPr>
      </w:pPr>
      <w:r>
        <w:rPr>
          <w:b/>
        </w:rPr>
        <w:t>Recommendation 7</w:t>
      </w:r>
      <w:r w:rsidR="003C4CD2">
        <w:rPr>
          <w:b/>
        </w:rPr>
        <w:t xml:space="preserve">: </w:t>
      </w:r>
      <w:r w:rsidR="003C4CD2" w:rsidRPr="00A135CA">
        <w:rPr>
          <w:b/>
        </w:rPr>
        <w:t xml:space="preserve">The </w:t>
      </w:r>
      <w:r w:rsidR="004E45F0">
        <w:rPr>
          <w:b/>
        </w:rPr>
        <w:t>decision-making</w:t>
      </w:r>
      <w:r w:rsidR="003C4CD2" w:rsidRPr="00A135CA">
        <w:rPr>
          <w:b/>
        </w:rPr>
        <w:t xml:space="preserve"> framework should </w:t>
      </w:r>
      <w:r w:rsidR="003C4CD2" w:rsidRPr="003C4CD2">
        <w:rPr>
          <w:b/>
        </w:rPr>
        <w:t>clearly outline how it interacts with and relates to the NDIS nominee scheme</w:t>
      </w:r>
      <w:r w:rsidR="003C4CD2">
        <w:rPr>
          <w:b/>
        </w:rPr>
        <w:t xml:space="preserve"> and other Commonwealth schemes.</w:t>
      </w:r>
    </w:p>
    <w:p w:rsidR="0088266F" w:rsidRDefault="0088266F" w:rsidP="004D2485">
      <w:pPr>
        <w:autoSpaceDE w:val="0"/>
        <w:autoSpaceDN w:val="0"/>
        <w:adjustRightInd w:val="0"/>
        <w:spacing w:before="0" w:after="0"/>
        <w:rPr>
          <w:rFonts w:ascii="Times New Roman" w:hAnsi="Times New Roman"/>
          <w:sz w:val="21"/>
          <w:szCs w:val="21"/>
        </w:rPr>
      </w:pPr>
    </w:p>
    <w:p w:rsidR="009F45E4" w:rsidRDefault="006D23D5" w:rsidP="006300A8">
      <w:pPr>
        <w:pStyle w:val="Heading2"/>
      </w:pPr>
      <w:bookmarkStart w:id="30" w:name="_Toc446329120"/>
      <w:r>
        <w:t xml:space="preserve">Provision for and promotion of alternatives to substitute </w:t>
      </w:r>
      <w:r w:rsidR="004E45F0">
        <w:t>decision-making</w:t>
      </w:r>
      <w:r>
        <w:t xml:space="preserve">, including supported </w:t>
      </w:r>
      <w:r w:rsidR="004E45F0">
        <w:t>decision-making</w:t>
      </w:r>
      <w:r>
        <w:t xml:space="preserve"> models that are drawn from local and international models of best practice</w:t>
      </w:r>
      <w:bookmarkEnd w:id="30"/>
    </w:p>
    <w:p w:rsidR="000F3365" w:rsidRDefault="00446C1A" w:rsidP="000F3365">
      <w:r>
        <w:t>Effective supported</w:t>
      </w:r>
      <w:r w:rsidR="00403601">
        <w:t xml:space="preserve"> </w:t>
      </w:r>
      <w:r w:rsidR="004E45F0">
        <w:t>decision-making</w:t>
      </w:r>
      <w:r>
        <w:t xml:space="preserve"> should be mandated and promoted</w:t>
      </w:r>
      <w:r w:rsidR="00403601">
        <w:t xml:space="preserve"> in order to </w:t>
      </w:r>
      <w:r>
        <w:t xml:space="preserve">ensure compliance with the UNCRPD and promote increased participation of people with disability in decisions that affect their lives. By introducing a wider range of </w:t>
      </w:r>
      <w:r w:rsidR="004E45F0">
        <w:t>decision-making</w:t>
      </w:r>
      <w:r>
        <w:t xml:space="preserve"> arrangements and recognising supporters in legislation, the </w:t>
      </w:r>
      <w:r w:rsidR="004E45F0">
        <w:t>decision-making</w:t>
      </w:r>
      <w:r>
        <w:t xml:space="preserve"> framework may </w:t>
      </w:r>
      <w:r w:rsidR="00F81CFD">
        <w:t xml:space="preserve">become a positive means of promoting the </w:t>
      </w:r>
      <w:r w:rsidR="004E45F0">
        <w:t>decision-making</w:t>
      </w:r>
      <w:r w:rsidR="00F81CFD">
        <w:t xml:space="preserve"> ability and human rights of people with disability rather than just a protective mechanism that is in place to mitigate risk. </w:t>
      </w:r>
    </w:p>
    <w:p w:rsidR="00F81CFD" w:rsidRDefault="00135799" w:rsidP="000F3365">
      <w:r>
        <w:t>A s</w:t>
      </w:r>
      <w:r w:rsidR="00F81CFD">
        <w:t xml:space="preserve">upported </w:t>
      </w:r>
      <w:r w:rsidR="004E45F0">
        <w:t>decision-making</w:t>
      </w:r>
      <w:r w:rsidR="00F81CFD">
        <w:t xml:space="preserve"> </w:t>
      </w:r>
      <w:r>
        <w:t>model</w:t>
      </w:r>
      <w:r w:rsidR="00F81CFD">
        <w:t xml:space="preserve"> can reflect the fluctuating nature of </w:t>
      </w:r>
      <w:r w:rsidR="004E45F0">
        <w:t>decision-making</w:t>
      </w:r>
      <w:r w:rsidR="00F81CFD">
        <w:t xml:space="preserve"> ability and acknowledges that different people will need different levels of support to make different decisions. </w:t>
      </w:r>
      <w:r>
        <w:t xml:space="preserve">It can also be an integral component to the NDIS by empowering people with disability to make their own decisions and exercise choice and control over their life. Supported </w:t>
      </w:r>
      <w:r w:rsidR="004E45F0">
        <w:t>decision-making</w:t>
      </w:r>
      <w:r w:rsidR="0082410F">
        <w:t xml:space="preserve"> processes</w:t>
      </w:r>
      <w:r>
        <w:t xml:space="preserve"> </w:t>
      </w:r>
      <w:r w:rsidR="0082410F">
        <w:t xml:space="preserve">“prioritise </w:t>
      </w:r>
      <w:r>
        <w:t>personal autonomy and recognise that individuals should be empowered with information to make decisions – even bad ones (acknowledging the dignity of risk).</w:t>
      </w:r>
      <w:r w:rsidR="0082410F">
        <w:t>”</w:t>
      </w:r>
      <w:r w:rsidR="0082410F">
        <w:rPr>
          <w:rStyle w:val="FootnoteReference"/>
        </w:rPr>
        <w:footnoteReference w:id="19"/>
      </w:r>
      <w:r>
        <w:t xml:space="preserve"> </w:t>
      </w:r>
      <w:r w:rsidR="0082410F">
        <w:t xml:space="preserve"> </w:t>
      </w:r>
    </w:p>
    <w:p w:rsidR="00863A93" w:rsidRDefault="00863A93" w:rsidP="000F3365">
      <w:r>
        <w:t xml:space="preserve">Under a supported </w:t>
      </w:r>
      <w:r w:rsidR="004E45F0">
        <w:t>decision-making</w:t>
      </w:r>
      <w:r>
        <w:t xml:space="preserve"> model, the essential question is not “does the person have capacity to make the decision?” but rather “what supports are needed to ensure that this person can best exercise their rights?”</w:t>
      </w:r>
      <w:r>
        <w:rPr>
          <w:rStyle w:val="FootnoteReference"/>
        </w:rPr>
        <w:footnoteReference w:id="20"/>
      </w:r>
      <w:r w:rsidR="001E401E">
        <w:t xml:space="preserve"> In this way it supports personal autonomy, </w:t>
      </w:r>
      <w:r w:rsidR="001E401E">
        <w:lastRenderedPageBreak/>
        <w:t>authority and control that people have over their li</w:t>
      </w:r>
      <w:r w:rsidR="001C1119">
        <w:t xml:space="preserve">ves, develops </w:t>
      </w:r>
      <w:r w:rsidR="004E45F0">
        <w:t>decision-making</w:t>
      </w:r>
      <w:r w:rsidR="001C1119">
        <w:t xml:space="preserve"> skills and can increase support networks. </w:t>
      </w:r>
    </w:p>
    <w:p w:rsidR="0062521A" w:rsidRDefault="0062521A" w:rsidP="000F3365">
      <w:r>
        <w:t xml:space="preserve">Common elements of supported </w:t>
      </w:r>
      <w:r w:rsidR="004E45F0">
        <w:t>decision-making</w:t>
      </w:r>
      <w:r>
        <w:t xml:space="preserve"> schemes include</w:t>
      </w:r>
      <w:r w:rsidR="008E2FFE">
        <w:t>:</w:t>
      </w:r>
      <w:r w:rsidR="008E2FFE">
        <w:rPr>
          <w:rStyle w:val="FootnoteReference"/>
        </w:rPr>
        <w:footnoteReference w:id="21"/>
      </w:r>
    </w:p>
    <w:p w:rsidR="0062521A" w:rsidRDefault="0062521A" w:rsidP="0062521A">
      <w:pPr>
        <w:pStyle w:val="ListParagraph"/>
        <w:numPr>
          <w:ilvl w:val="0"/>
          <w:numId w:val="37"/>
        </w:numPr>
      </w:pPr>
      <w:r>
        <w:t>Gu</w:t>
      </w:r>
      <w:r w:rsidR="007E5126">
        <w:t>iding principles that emphasise</w:t>
      </w:r>
      <w:r>
        <w:t xml:space="preserve"> rights to self-determination and autonomy, the presumption of </w:t>
      </w:r>
      <w:r w:rsidR="004E45F0">
        <w:t>decision-making</w:t>
      </w:r>
      <w:r>
        <w:t xml:space="preserve"> ability and the right to </w:t>
      </w:r>
      <w:r w:rsidR="004E45F0">
        <w:t>decision-making</w:t>
      </w:r>
      <w:r>
        <w:t xml:space="preserve"> supports</w:t>
      </w:r>
    </w:p>
    <w:p w:rsidR="0062521A" w:rsidRDefault="008E2FFE" w:rsidP="0062521A">
      <w:pPr>
        <w:pStyle w:val="ListParagraph"/>
        <w:numPr>
          <w:ilvl w:val="0"/>
          <w:numId w:val="37"/>
        </w:numPr>
      </w:pPr>
      <w:r>
        <w:t xml:space="preserve">Recognition of a person’s will, intent and preferences in the </w:t>
      </w:r>
      <w:r w:rsidR="004E45F0">
        <w:t>decision-making</w:t>
      </w:r>
      <w:r>
        <w:t xml:space="preserve"> process</w:t>
      </w:r>
    </w:p>
    <w:p w:rsidR="008E2FFE" w:rsidRDefault="008E2FFE" w:rsidP="0062521A">
      <w:pPr>
        <w:pStyle w:val="ListParagraph"/>
        <w:numPr>
          <w:ilvl w:val="0"/>
          <w:numId w:val="37"/>
        </w:numPr>
      </w:pPr>
      <w:r>
        <w:t xml:space="preserve">Recognition that </w:t>
      </w:r>
      <w:r w:rsidR="004E45F0">
        <w:t>decision-making</w:t>
      </w:r>
      <w:r>
        <w:t xml:space="preserve"> assistance is required, including by way of an interpreter, facilitated communication, assistive technologies, plain language etc.</w:t>
      </w:r>
    </w:p>
    <w:p w:rsidR="008E2FFE" w:rsidRDefault="00972016" w:rsidP="0062521A">
      <w:pPr>
        <w:pStyle w:val="ListParagraph"/>
        <w:numPr>
          <w:ilvl w:val="0"/>
          <w:numId w:val="37"/>
        </w:numPr>
      </w:pPr>
      <w:r>
        <w:t xml:space="preserve">Processes to support individuals exercise their </w:t>
      </w:r>
      <w:r w:rsidR="004E45F0">
        <w:t>decision-making</w:t>
      </w:r>
      <w:r>
        <w:t xml:space="preserve"> ability, including providing information and advice, spending time to determine a person’s preferences and wishes and building informal relationships of support between a person and their social networks.</w:t>
      </w:r>
      <w:r>
        <w:rPr>
          <w:rStyle w:val="FootnoteReference"/>
        </w:rPr>
        <w:footnoteReference w:id="22"/>
      </w:r>
    </w:p>
    <w:p w:rsidR="00BD0AFE" w:rsidRDefault="00E14C24" w:rsidP="0062521A">
      <w:pPr>
        <w:pStyle w:val="ListParagraph"/>
        <w:numPr>
          <w:ilvl w:val="0"/>
          <w:numId w:val="37"/>
        </w:numPr>
      </w:pPr>
      <w:r>
        <w:t xml:space="preserve">Clear guidance on the role of </w:t>
      </w:r>
      <w:r w:rsidR="007E5126">
        <w:t>supporters</w:t>
      </w:r>
    </w:p>
    <w:p w:rsidR="00E14C24" w:rsidRDefault="00E14C24" w:rsidP="0062521A">
      <w:pPr>
        <w:pStyle w:val="ListParagraph"/>
        <w:numPr>
          <w:ilvl w:val="0"/>
          <w:numId w:val="37"/>
        </w:numPr>
      </w:pPr>
      <w:r>
        <w:t>Carefully structured provisions and safeguards so they do not over-regulate the lives of individuals and become burdensome</w:t>
      </w:r>
    </w:p>
    <w:p w:rsidR="00D216A4" w:rsidRDefault="00E373A0" w:rsidP="0062521A">
      <w:pPr>
        <w:pStyle w:val="ListParagraph"/>
        <w:numPr>
          <w:ilvl w:val="0"/>
          <w:numId w:val="37"/>
        </w:numPr>
      </w:pPr>
      <w:r>
        <w:t xml:space="preserve">Access to safeguards and monitoring of supported </w:t>
      </w:r>
      <w:r w:rsidR="004E45F0">
        <w:t>decision-making</w:t>
      </w:r>
      <w:r>
        <w:t xml:space="preserve"> arrangements</w:t>
      </w:r>
    </w:p>
    <w:p w:rsidR="00422DBA" w:rsidRDefault="00422DBA" w:rsidP="0062521A">
      <w:pPr>
        <w:pStyle w:val="ListParagraph"/>
        <w:numPr>
          <w:ilvl w:val="0"/>
          <w:numId w:val="37"/>
        </w:numPr>
      </w:pPr>
      <w:r>
        <w:t>Mechanisms to identify and manage conflicts between people and their supporters</w:t>
      </w:r>
    </w:p>
    <w:p w:rsidR="00727B65" w:rsidRDefault="00727B65" w:rsidP="000F3365">
      <w:r>
        <w:t xml:space="preserve">It is clear that there are many advantages and benefits that flow from the implementation of supported decision-making. What is still unclear is the best way to facilitate and ensure more widespread implementation of supported decision-making. </w:t>
      </w:r>
      <w:r w:rsidR="002D5FFB">
        <w:t xml:space="preserve">Recently there has been a number of trials and implementation of supported </w:t>
      </w:r>
      <w:r w:rsidR="004E45F0">
        <w:t>decision-making</w:t>
      </w:r>
      <w:r>
        <w:t xml:space="preserve"> models and suggestions for how to provide a statutory framework for supported </w:t>
      </w:r>
      <w:r w:rsidR="00156AAE">
        <w:t>decision-making</w:t>
      </w:r>
      <w:r>
        <w:t>.</w:t>
      </w:r>
    </w:p>
    <w:p w:rsidR="007546EF" w:rsidRDefault="007546EF" w:rsidP="000F3365">
      <w:r>
        <w:t xml:space="preserve">In </w:t>
      </w:r>
      <w:r w:rsidR="0082768D">
        <w:t xml:space="preserve">NSW, the NSW Trustee and Guardian, the Public Guardian and the Department of Family and Community Services ran Supported </w:t>
      </w:r>
      <w:r w:rsidR="004E45F0">
        <w:t>Decision-making</w:t>
      </w:r>
      <w:r w:rsidR="0082768D">
        <w:t xml:space="preserve"> Trial called </w:t>
      </w:r>
      <w:r w:rsidR="0082768D">
        <w:rPr>
          <w:i/>
        </w:rPr>
        <w:t xml:space="preserve">My </w:t>
      </w:r>
      <w:r w:rsidR="00402C50">
        <w:rPr>
          <w:i/>
        </w:rPr>
        <w:t xml:space="preserve">Life, </w:t>
      </w:r>
      <w:r w:rsidR="0082768D">
        <w:rPr>
          <w:i/>
        </w:rPr>
        <w:t>My Decision</w:t>
      </w:r>
      <w:r w:rsidR="0082768D">
        <w:t xml:space="preserve"> to explore what supported </w:t>
      </w:r>
      <w:r w:rsidR="004E45F0">
        <w:t>decision-making</w:t>
      </w:r>
      <w:r w:rsidR="0082768D">
        <w:t xml:space="preserve"> might look like in practice in the NSW context.</w:t>
      </w:r>
      <w:r w:rsidR="00AE0194">
        <w:rPr>
          <w:rStyle w:val="FootnoteReference"/>
        </w:rPr>
        <w:footnoteReference w:id="23"/>
      </w:r>
      <w:r w:rsidR="0082768D">
        <w:t xml:space="preserve"> It involved 26 people with disability in area with a high level of diversity, and each person was assigned a supporter to help them make</w:t>
      </w:r>
      <w:r w:rsidR="00402C50">
        <w:t xml:space="preserve"> both small everyday decisions and major life decisions. Supporters were</w:t>
      </w:r>
      <w:r w:rsidR="0082768D">
        <w:t xml:space="preserve"> </w:t>
      </w:r>
      <w:r w:rsidR="00E21BFE">
        <w:t xml:space="preserve">family members, friends, paid service providers or paid advocates. The pilot also included the development of written resources for participants and their supporters which could be used to help them make decisions. The project team facilitators also assisted with the establishment of decision maker/supporter relationships, provided training and access to tools to support the </w:t>
      </w:r>
      <w:r w:rsidR="004E45F0">
        <w:t>decision-making</w:t>
      </w:r>
      <w:r w:rsidR="000208E5">
        <w:t xml:space="preserve"> processes. </w:t>
      </w:r>
      <w:r w:rsidR="00AE0194">
        <w:t xml:space="preserve">Results from the pilot evaluation indicated that supported </w:t>
      </w:r>
      <w:r w:rsidR="004E45F0">
        <w:t>decision-making</w:t>
      </w:r>
      <w:r w:rsidR="00AE0194">
        <w:t xml:space="preserve"> could be successful for a diverse group of people with a disability and varied support needs and circumstances.</w:t>
      </w:r>
      <w:r w:rsidR="00AE0194">
        <w:rPr>
          <w:rStyle w:val="FootnoteReference"/>
        </w:rPr>
        <w:footnoteReference w:id="24"/>
      </w:r>
    </w:p>
    <w:p w:rsidR="0057157A" w:rsidRDefault="00BD0AFE" w:rsidP="000F3365">
      <w:r>
        <w:lastRenderedPageBreak/>
        <w:t>In South Australia, the Office of the Public Advocate</w:t>
      </w:r>
      <w:r w:rsidR="00727B65">
        <w:t xml:space="preserve"> ran a supported </w:t>
      </w:r>
      <w:r w:rsidR="00156AAE">
        <w:t>decision-making</w:t>
      </w:r>
      <w:r w:rsidR="00727B65">
        <w:t xml:space="preserve"> project aimed at enabling people with a cognitive disability to make individual decisions about a variety of life choices.</w:t>
      </w:r>
      <w:r w:rsidR="003D06E4">
        <w:rPr>
          <w:rStyle w:val="FootnoteReference"/>
        </w:rPr>
        <w:footnoteReference w:id="25"/>
      </w:r>
      <w:r w:rsidR="00727B65">
        <w:t xml:space="preserve"> It was</w:t>
      </w:r>
      <w:r w:rsidR="00AC0A9A">
        <w:t xml:space="preserve"> based on the Stepped Model which describes different intermediate steps between autonomous decision-making and substitute decision-making. It was </w:t>
      </w:r>
      <w:r w:rsidR="00727B65">
        <w:t>a non-statutory model that involved setting up</w:t>
      </w:r>
      <w:r w:rsidR="003D06E4">
        <w:t xml:space="preserve"> an agreement between a person with disability and a supporter. The supporter was either a family member or close friend who would help make decisions about an individual’s healthcare, accommodation and lifestyle. An agreement was also made with an independent party to be a monitor who would keep track of how the arrangement was going. The evaluation of this project indicated that participants felt an increased level of confidence in making decisions and a level of growth in support networks, but that the infrastructure was not developed enough to </w:t>
      </w:r>
      <w:r w:rsidR="00AC0A9A">
        <w:t>make this a viable alternative to the guardianship system.</w:t>
      </w:r>
      <w:r w:rsidR="00DF586A">
        <w:rPr>
          <w:rStyle w:val="FootnoteReference"/>
        </w:rPr>
        <w:footnoteReference w:id="26"/>
      </w:r>
      <w:r w:rsidR="00AC0A9A">
        <w:t xml:space="preserve"> </w:t>
      </w:r>
    </w:p>
    <w:p w:rsidR="000208E5" w:rsidRDefault="000208E5" w:rsidP="000F3365">
      <w:r>
        <w:t>The Victorian Law Reform Commission in its final report</w:t>
      </w:r>
      <w:r w:rsidR="004E45F0">
        <w:t xml:space="preserve"> on Guardianship suggested the development of a supported decision-making and co-decision-making structure.</w:t>
      </w:r>
      <w:r w:rsidR="004E45F0">
        <w:rPr>
          <w:rStyle w:val="FootnoteReference"/>
        </w:rPr>
        <w:footnoteReference w:id="27"/>
      </w:r>
      <w:r w:rsidR="004E45F0">
        <w:t xml:space="preserve"> This would provide recognition to supporters – trusted persons providing support and assistance to an adult who needs help in making a decision – and external oversight by the Victorian Civil and Administrative Tribunal (VCAT). The co-decision maker would act jointly with the adult, appointments would be made by VCAT, and the range of decisions for which the person needs support could </w:t>
      </w:r>
      <w:r w:rsidR="00BD0AFE">
        <w:t xml:space="preserve">be those previously covered by guardians and administrators. Safeguards in this system include </w:t>
      </w:r>
      <w:r w:rsidR="00727B65">
        <w:t xml:space="preserve">online </w:t>
      </w:r>
      <w:r w:rsidR="00BD0AFE">
        <w:t>registration of co-decision-making orders, regular review on a range of grounds and options to renew, amend or revoke the order.</w:t>
      </w:r>
      <w:r w:rsidR="00DF586A">
        <w:rPr>
          <w:rStyle w:val="FootnoteReference"/>
        </w:rPr>
        <w:footnoteReference w:id="28"/>
      </w:r>
      <w:r w:rsidR="00BD0AFE">
        <w:t xml:space="preserve"> This is an example of </w:t>
      </w:r>
      <w:r w:rsidR="00727B65">
        <w:t xml:space="preserve">a statutory supported </w:t>
      </w:r>
      <w:r w:rsidR="00156AAE">
        <w:t>decision-making</w:t>
      </w:r>
      <w:r w:rsidR="00727B65">
        <w:t xml:space="preserve"> model that could</w:t>
      </w:r>
      <w:r w:rsidR="00E72A18">
        <w:t xml:space="preserve"> be</w:t>
      </w:r>
      <w:r w:rsidR="00727B65">
        <w:t xml:space="preserve"> implemented in NSW.</w:t>
      </w:r>
      <w:r w:rsidR="00BD0AFE">
        <w:t xml:space="preserve"> </w:t>
      </w:r>
    </w:p>
    <w:p w:rsidR="00716858" w:rsidRDefault="00716858" w:rsidP="00CA7641">
      <w:r>
        <w:t xml:space="preserve">In Victoria, amendments to the </w:t>
      </w:r>
      <w:r>
        <w:rPr>
          <w:i/>
        </w:rPr>
        <w:t>Powers of Attorney Act</w:t>
      </w:r>
      <w:r w:rsidR="00DF586A">
        <w:rPr>
          <w:i/>
        </w:rPr>
        <w:t xml:space="preserve"> </w:t>
      </w:r>
      <w:r>
        <w:t xml:space="preserve"> mean that people can now appoint a supportive power of attorney who can enable them to give effect to his or her decisions with support.</w:t>
      </w:r>
      <w:r>
        <w:rPr>
          <w:rStyle w:val="FootnoteReference"/>
        </w:rPr>
        <w:footnoteReference w:id="29"/>
      </w:r>
      <w:r>
        <w:t xml:space="preserve"> </w:t>
      </w:r>
      <w:r w:rsidR="00CA7641">
        <w:t xml:space="preserve">A supportive attorney must act honestly, diligently, and in good faith and must exercise reasonable skill and care, but is not able to receive remuneration for acting as </w:t>
      </w:r>
      <w:r w:rsidR="00727B65">
        <w:t xml:space="preserve">a supportive attorney. This is </w:t>
      </w:r>
      <w:r w:rsidR="00BD0AFE">
        <w:t>another</w:t>
      </w:r>
      <w:r w:rsidR="00727B65">
        <w:t xml:space="preserve"> statutory</w:t>
      </w:r>
      <w:r w:rsidR="00CA7641">
        <w:t xml:space="preserve"> model NSW may consider implementing in order to facilitate supported </w:t>
      </w:r>
      <w:r w:rsidR="004E45F0">
        <w:t>decision-making</w:t>
      </w:r>
      <w:r w:rsidR="00CA7641">
        <w:t xml:space="preserve">. </w:t>
      </w:r>
    </w:p>
    <w:p w:rsidR="009E35D4" w:rsidRDefault="0082410F" w:rsidP="000F3365">
      <w:r>
        <w:t xml:space="preserve">For supported </w:t>
      </w:r>
      <w:r w:rsidR="004E45F0">
        <w:t>decision-making</w:t>
      </w:r>
      <w:r>
        <w:t xml:space="preserve"> to be effective, according to the ALRC, it must be facilitated by appropriate legislative recognition of supporters.</w:t>
      </w:r>
      <w:r w:rsidR="00CF24CD">
        <w:t xml:space="preserve"> This is particularly important where a person does not have access to respectful, trusting, natural relationships and formal supporters are required.</w:t>
      </w:r>
      <w:r w:rsidR="009E35D4">
        <w:t xml:space="preserve"> The Supporter Model proposed by the ALRC </w:t>
      </w:r>
      <w:r w:rsidR="00A174D9">
        <w:t xml:space="preserve">recommends </w:t>
      </w:r>
      <w:r w:rsidR="009E35D4">
        <w:t>a formal appointm</w:t>
      </w:r>
      <w:r w:rsidR="00A174D9">
        <w:t>ent process</w:t>
      </w:r>
      <w:r w:rsidR="00CF24CD">
        <w:t xml:space="preserve"> </w:t>
      </w:r>
      <w:r w:rsidR="00A174D9">
        <w:t>for supporters and recognition of the role and duties of supporters in legislation.</w:t>
      </w:r>
      <w:r w:rsidR="00A174D9">
        <w:rPr>
          <w:rStyle w:val="FootnoteReference"/>
        </w:rPr>
        <w:footnoteReference w:id="30"/>
      </w:r>
      <w:r w:rsidR="00A174D9">
        <w:t xml:space="preserve"> </w:t>
      </w:r>
    </w:p>
    <w:p w:rsidR="006D23D5" w:rsidRPr="00A174D9" w:rsidRDefault="009E35D4" w:rsidP="00A174D9">
      <w:r>
        <w:lastRenderedPageBreak/>
        <w:t xml:space="preserve">It must be acknowledged, </w:t>
      </w:r>
      <w:r w:rsidR="00527E46">
        <w:t xml:space="preserve">however, that many supported </w:t>
      </w:r>
      <w:r w:rsidR="004E45F0">
        <w:t>decision-making</w:t>
      </w:r>
      <w:r w:rsidR="00527E46">
        <w:t xml:space="preserve"> relationships operate</w:t>
      </w:r>
      <w:r w:rsidR="00073987">
        <w:t xml:space="preserve"> very</w:t>
      </w:r>
      <w:r w:rsidR="00527E46">
        <w:t xml:space="preserve"> effectively informally, and </w:t>
      </w:r>
      <w:r w:rsidR="00073987">
        <w:t xml:space="preserve">there is a risk that in over formalising supported </w:t>
      </w:r>
      <w:r w:rsidR="004E45F0">
        <w:t>decision-making</w:t>
      </w:r>
      <w:r w:rsidR="00073987">
        <w:t xml:space="preserve"> that control is taken away from people who are being supported</w:t>
      </w:r>
      <w:r w:rsidR="00336E90">
        <w:t xml:space="preserve"> because the provisions may be too prescriptive about how arrangements should operate, who can be a supporter and what a supporter can do</w:t>
      </w:r>
      <w:r w:rsidR="00AB4F0D">
        <w:t xml:space="preserve">. The </w:t>
      </w:r>
      <w:r w:rsidR="004E45F0">
        <w:t>decision-making</w:t>
      </w:r>
      <w:r w:rsidR="00F14FB9">
        <w:t xml:space="preserve"> framework should </w:t>
      </w:r>
      <w:r w:rsidR="00AB4F0D">
        <w:t>strike the appropriate balance b</w:t>
      </w:r>
      <w:r w:rsidR="00C30065">
        <w:t>etween allowing informal ar</w:t>
      </w:r>
      <w:r w:rsidR="00CF24CD">
        <w:t>rangements that give control to the person being supported to exist and providing legal acknowledgement of and certainty for third parties about the role of supporters.</w:t>
      </w:r>
      <w:r w:rsidR="00B23662">
        <w:t xml:space="preserve"> </w:t>
      </w:r>
    </w:p>
    <w:p w:rsidR="00F14FB9" w:rsidRDefault="00F14FB9" w:rsidP="00F14FB9">
      <w:pPr>
        <w:pBdr>
          <w:top w:val="single" w:sz="4" w:space="1" w:color="auto"/>
          <w:left w:val="single" w:sz="4" w:space="4" w:color="auto"/>
          <w:bottom w:val="single" w:sz="4" w:space="1" w:color="auto"/>
          <w:right w:val="single" w:sz="4" w:space="4" w:color="auto"/>
        </w:pBdr>
        <w:autoSpaceDE w:val="0"/>
        <w:autoSpaceDN w:val="0"/>
        <w:adjustRightInd w:val="0"/>
        <w:spacing w:before="0" w:after="0"/>
        <w:rPr>
          <w:b/>
        </w:rPr>
      </w:pPr>
      <w:r>
        <w:rPr>
          <w:b/>
        </w:rPr>
        <w:t xml:space="preserve">Recommendation </w:t>
      </w:r>
      <w:r w:rsidR="00257ABB">
        <w:rPr>
          <w:b/>
        </w:rPr>
        <w:t>8</w:t>
      </w:r>
      <w:r>
        <w:rPr>
          <w:b/>
        </w:rPr>
        <w:t xml:space="preserve">: </w:t>
      </w:r>
      <w:r w:rsidRPr="00A135CA">
        <w:rPr>
          <w:b/>
        </w:rPr>
        <w:t xml:space="preserve">The </w:t>
      </w:r>
      <w:r>
        <w:rPr>
          <w:b/>
        </w:rPr>
        <w:t>decision-making</w:t>
      </w:r>
      <w:r w:rsidRPr="00A135CA">
        <w:rPr>
          <w:b/>
        </w:rPr>
        <w:t xml:space="preserve"> framework</w:t>
      </w:r>
      <w:r>
        <w:rPr>
          <w:b/>
        </w:rPr>
        <w:t xml:space="preserve"> should</w:t>
      </w:r>
      <w:r w:rsidRPr="00A135CA">
        <w:rPr>
          <w:b/>
        </w:rPr>
        <w:t xml:space="preserve"> </w:t>
      </w:r>
      <w:r>
        <w:rPr>
          <w:b/>
        </w:rPr>
        <w:t>provide and promote alternatives to s</w:t>
      </w:r>
      <w:r w:rsidRPr="00F14FB9">
        <w:rPr>
          <w:b/>
        </w:rPr>
        <w:t>ubstitute decision-making, including supported decision-making models that are drawn from local and international models of best practice</w:t>
      </w:r>
    </w:p>
    <w:p w:rsidR="00F14FB9" w:rsidRDefault="00F14FB9" w:rsidP="00F14FB9">
      <w:pPr>
        <w:pBdr>
          <w:top w:val="single" w:sz="4" w:space="1" w:color="auto"/>
          <w:left w:val="single" w:sz="4" w:space="4" w:color="auto"/>
          <w:bottom w:val="single" w:sz="4" w:space="1" w:color="auto"/>
          <w:right w:val="single" w:sz="4" w:space="4" w:color="auto"/>
        </w:pBdr>
        <w:autoSpaceDE w:val="0"/>
        <w:autoSpaceDN w:val="0"/>
        <w:adjustRightInd w:val="0"/>
        <w:spacing w:before="0" w:after="0"/>
        <w:rPr>
          <w:b/>
        </w:rPr>
      </w:pPr>
    </w:p>
    <w:p w:rsidR="007546EF" w:rsidRPr="00F14FB9" w:rsidRDefault="00257ABB" w:rsidP="00F14FB9">
      <w:pPr>
        <w:pBdr>
          <w:top w:val="single" w:sz="4" w:space="1" w:color="auto"/>
          <w:left w:val="single" w:sz="4" w:space="4" w:color="auto"/>
          <w:bottom w:val="single" w:sz="4" w:space="1" w:color="auto"/>
          <w:right w:val="single" w:sz="4" w:space="4" w:color="auto"/>
        </w:pBdr>
        <w:autoSpaceDE w:val="0"/>
        <w:autoSpaceDN w:val="0"/>
        <w:adjustRightInd w:val="0"/>
        <w:spacing w:before="0" w:after="0"/>
        <w:rPr>
          <w:b/>
        </w:rPr>
      </w:pPr>
      <w:r>
        <w:rPr>
          <w:b/>
        </w:rPr>
        <w:t>Recommendation 9</w:t>
      </w:r>
      <w:r w:rsidR="00F14FB9">
        <w:rPr>
          <w:b/>
        </w:rPr>
        <w:t>: The decision-making framework should</w:t>
      </w:r>
      <w:r w:rsidR="00F14FB9" w:rsidRPr="00F14FB9">
        <w:rPr>
          <w:b/>
        </w:rPr>
        <w:t xml:space="preserve"> strike the appropriate balance between allowing informal arrangements that give control to the person being supported to exist and providing legal acknowledgement of and certainty for third parties about the role of supporters.</w:t>
      </w:r>
    </w:p>
    <w:p w:rsidR="00F14FB9" w:rsidRDefault="00F14FB9" w:rsidP="00F14FB9">
      <w:pPr>
        <w:pStyle w:val="NoSpacing"/>
      </w:pPr>
    </w:p>
    <w:p w:rsidR="00E14C24" w:rsidRDefault="00346FC1" w:rsidP="00346FC1">
      <w:pPr>
        <w:pStyle w:val="Heading2"/>
      </w:pPr>
      <w:bookmarkStart w:id="31" w:name="_Toc446329121"/>
      <w:r>
        <w:t>Resources that build the</w:t>
      </w:r>
      <w:r w:rsidR="008312F7">
        <w:t xml:space="preserve"> </w:t>
      </w:r>
      <w:r w:rsidR="00156AAE">
        <w:t>decision-making</w:t>
      </w:r>
      <w:r w:rsidR="008312F7">
        <w:t xml:space="preserve"> ability</w:t>
      </w:r>
      <w:r>
        <w:t xml:space="preserve"> of people with disability </w:t>
      </w:r>
      <w:r w:rsidR="00E14C24">
        <w:t xml:space="preserve">and </w:t>
      </w:r>
      <w:r w:rsidR="0057157A">
        <w:t>drive cultural change</w:t>
      </w:r>
      <w:bookmarkEnd w:id="31"/>
    </w:p>
    <w:p w:rsidR="00864457" w:rsidRDefault="00BE4102" w:rsidP="00F14FB9">
      <w:r>
        <w:t>It is clear from the</w:t>
      </w:r>
      <w:r w:rsidR="006B150E">
        <w:t xml:space="preserve"> UNCRPD that state parties are obligated to positively act and invest in supports so people with disability can exercise capacity and realise their rights.</w:t>
      </w:r>
      <w:r w:rsidR="00985769">
        <w:rPr>
          <w:rStyle w:val="FootnoteReference"/>
        </w:rPr>
        <w:footnoteReference w:id="31"/>
      </w:r>
      <w:r w:rsidR="008312F7">
        <w:t xml:space="preserve"> </w:t>
      </w:r>
      <w:r w:rsidR="00864457">
        <w:t xml:space="preserve"> In NSW there has been significant investment in</w:t>
      </w:r>
      <w:r w:rsidR="00E72A18">
        <w:t xml:space="preserve"> the guardianship regime but no</w:t>
      </w:r>
      <w:r w:rsidR="00864457">
        <w:t xml:space="preserve"> similar investment in decision support services, leading to a situation where people who might otherwise be able to make decisions for themselves (with the right support) may have a guardian appointed. </w:t>
      </w:r>
      <w:r w:rsidR="008312F7">
        <w:t>Simply eliminating or reducing the practice of substitute decision-making will serve no purpose unless there are quality and appropriate supports available that empower people to make decisions.</w:t>
      </w:r>
      <w:r w:rsidR="006B150E">
        <w:t xml:space="preserve"> </w:t>
      </w:r>
    </w:p>
    <w:p w:rsidR="00A06B8C" w:rsidRDefault="00985769" w:rsidP="00F14FB9">
      <w:r>
        <w:t xml:space="preserve">Any legislative or policy change to the way people are facilitated to make decisions </w:t>
      </w:r>
      <w:r w:rsidR="00A06B8C">
        <w:t>should</w:t>
      </w:r>
      <w:r>
        <w:t xml:space="preserve"> be complemented by sufficient resources, supports, education and guidance that will better enable people </w:t>
      </w:r>
      <w:r w:rsidR="008312F7">
        <w:t xml:space="preserve">to exercise their rights and make decisions for themselves. </w:t>
      </w:r>
      <w:r w:rsidR="00864457">
        <w:t xml:space="preserve">This may include independent community based individual advocacy, education about human rights of people with disability and services that support people with disability to exercise their rights and make decisions for themselves. </w:t>
      </w:r>
      <w:r w:rsidR="00A06B8C">
        <w:t xml:space="preserve">It should also include adequate resourcing for advocacy groups that represent people with a disability. Funding of advocacy groups is a contentious issue under the NDIS but should be resolved and guaranteed in order to ensure people are best supported to make decisions about all aspects of their lives. </w:t>
      </w:r>
    </w:p>
    <w:p w:rsidR="009467AB" w:rsidRDefault="009467AB" w:rsidP="00F14FB9">
      <w:r>
        <w:t>For some people with disability from culturally and linguistically diverse backgrounds (CALD), increased support and effective advocacy may be needed to assist people to negotiate and establish an independent life in the community which may be different from that conceived by their family or their community, where strong views may be held that do not reflect the values of modern Australian life, nor the independence of people with disability.</w:t>
      </w:r>
    </w:p>
    <w:p w:rsidR="008100CC" w:rsidRDefault="00864457" w:rsidP="008100CC">
      <w:pPr>
        <w:pStyle w:val="Default"/>
        <w:rPr>
          <w:lang w:val="en-US"/>
        </w:rPr>
      </w:pPr>
      <w:r>
        <w:lastRenderedPageBreak/>
        <w:t>Legislative</w:t>
      </w:r>
      <w:r w:rsidR="00A06B8C">
        <w:t xml:space="preserve"> or policy </w:t>
      </w:r>
      <w:r w:rsidR="009467AB">
        <w:t>change should</w:t>
      </w:r>
      <w:r>
        <w:t xml:space="preserve"> also be complemented by </w:t>
      </w:r>
      <w:r w:rsidR="00A06B8C">
        <w:t xml:space="preserve">more widespread </w:t>
      </w:r>
      <w:r>
        <w:t xml:space="preserve">information, education and awareness campaigns about the human </w:t>
      </w:r>
      <w:r w:rsidR="009467AB">
        <w:t>rights of people with disability.</w:t>
      </w:r>
      <w:r w:rsidR="008100CC">
        <w:t xml:space="preserve"> </w:t>
      </w:r>
      <w:r w:rsidR="009467AB">
        <w:t xml:space="preserve">This should assist in driving </w:t>
      </w:r>
      <w:r w:rsidR="008100CC">
        <w:t xml:space="preserve">the </w:t>
      </w:r>
      <w:r w:rsidR="009467AB">
        <w:t>cultural change</w:t>
      </w:r>
      <w:r w:rsidR="008100CC">
        <w:t xml:space="preserve"> required</w:t>
      </w:r>
      <w:r w:rsidR="009467AB">
        <w:t xml:space="preserve"> t</w:t>
      </w:r>
      <w:r w:rsidR="008100CC">
        <w:t xml:space="preserve">o overcome the </w:t>
      </w:r>
      <w:r w:rsidR="008100CC">
        <w:rPr>
          <w:lang w:val="en-US"/>
        </w:rPr>
        <w:t>prevailing cultural norm of low expectations of the capacity of people with disability to make decisions about how they would like to live their lives.</w:t>
      </w:r>
    </w:p>
    <w:p w:rsidR="008100CC" w:rsidRDefault="008100CC" w:rsidP="008100CC">
      <w:pPr>
        <w:pStyle w:val="Default"/>
        <w:rPr>
          <w:lang w:val="en-US"/>
        </w:rPr>
      </w:pPr>
    </w:p>
    <w:p w:rsidR="005A35B3" w:rsidRPr="0001029F" w:rsidRDefault="008100CC" w:rsidP="0001029F">
      <w:pPr>
        <w:pBdr>
          <w:top w:val="single" w:sz="4" w:space="1" w:color="auto"/>
          <w:left w:val="single" w:sz="4" w:space="4" w:color="auto"/>
          <w:bottom w:val="single" w:sz="4" w:space="1" w:color="auto"/>
          <w:right w:val="single" w:sz="4" w:space="4" w:color="auto"/>
        </w:pBdr>
        <w:autoSpaceDE w:val="0"/>
        <w:autoSpaceDN w:val="0"/>
        <w:adjustRightInd w:val="0"/>
        <w:spacing w:before="0" w:after="0"/>
        <w:rPr>
          <w:b/>
        </w:rPr>
      </w:pPr>
      <w:r>
        <w:rPr>
          <w:b/>
        </w:rPr>
        <w:t>Recommend</w:t>
      </w:r>
      <w:r w:rsidR="00257ABB">
        <w:rPr>
          <w:b/>
        </w:rPr>
        <w:t>ation 10</w:t>
      </w:r>
      <w:r>
        <w:rPr>
          <w:b/>
        </w:rPr>
        <w:t xml:space="preserve">: </w:t>
      </w:r>
      <w:r w:rsidRPr="00A135CA">
        <w:rPr>
          <w:b/>
        </w:rPr>
        <w:t xml:space="preserve">The </w:t>
      </w:r>
      <w:r>
        <w:rPr>
          <w:b/>
        </w:rPr>
        <w:t>decision-making</w:t>
      </w:r>
      <w:r w:rsidRPr="00A135CA">
        <w:rPr>
          <w:b/>
        </w:rPr>
        <w:t xml:space="preserve"> framework</w:t>
      </w:r>
      <w:r>
        <w:rPr>
          <w:b/>
        </w:rPr>
        <w:t xml:space="preserve"> should include resources that build the </w:t>
      </w:r>
      <w:r w:rsidR="00156AAE">
        <w:rPr>
          <w:b/>
        </w:rPr>
        <w:t>decision-making</w:t>
      </w:r>
      <w:r>
        <w:rPr>
          <w:b/>
        </w:rPr>
        <w:t xml:space="preserve"> ability of people with disability and drive cultural change</w:t>
      </w:r>
      <w:r w:rsidRPr="008100CC">
        <w:rPr>
          <w:b/>
        </w:rPr>
        <w:t>, including independent community based individual advocacy, education about human rights of people with disability and services that support people with disability to exercise their rights and make decisions for themselves</w:t>
      </w:r>
      <w:r w:rsidR="00E77D6F">
        <w:rPr>
          <w:b/>
        </w:rPr>
        <w:t>.</w:t>
      </w:r>
    </w:p>
    <w:p w:rsidR="006D23D5" w:rsidRDefault="006D23D5" w:rsidP="006300A8">
      <w:pPr>
        <w:pStyle w:val="Heading2"/>
      </w:pPr>
      <w:bookmarkStart w:id="32" w:name="_Toc446329122"/>
      <w:r>
        <w:t xml:space="preserve">A representative </w:t>
      </w:r>
      <w:r w:rsidR="004E45F0">
        <w:t>decision-making</w:t>
      </w:r>
      <w:r>
        <w:t xml:space="preserve"> scheme that can be implemented </w:t>
      </w:r>
      <w:r w:rsidR="002762DE">
        <w:t>in limited circumstances</w:t>
      </w:r>
      <w:r w:rsidR="003306B8">
        <w:t xml:space="preserve"> </w:t>
      </w:r>
      <w:r>
        <w:t xml:space="preserve">where a person does not have </w:t>
      </w:r>
      <w:r w:rsidR="008100CC">
        <w:t>the ability</w:t>
      </w:r>
      <w:r>
        <w:t xml:space="preserve"> to make particular decisions</w:t>
      </w:r>
      <w:r w:rsidRPr="00C562CC">
        <w:rPr>
          <w:color w:val="222222"/>
        </w:rPr>
        <w:t xml:space="preserve"> and will require the representative to exercise their powers to promote the personal and social wellbeing of the person</w:t>
      </w:r>
      <w:bookmarkEnd w:id="32"/>
    </w:p>
    <w:p w:rsidR="003765BF" w:rsidRDefault="005A35B3" w:rsidP="003765BF">
      <w:r>
        <w:t xml:space="preserve">It is </w:t>
      </w:r>
      <w:r w:rsidR="003765BF">
        <w:t xml:space="preserve">important to note that the Committee on the Rights of Persons with Disabilities has commented that “the development of supported decision-making systems in parallel with the retention of substitute decision-making regimes </w:t>
      </w:r>
      <w:r w:rsidR="003765BF">
        <w:rPr>
          <w:iCs/>
        </w:rPr>
        <w:t>is</w:t>
      </w:r>
      <w:r w:rsidR="003765BF" w:rsidRPr="003765BF">
        <w:rPr>
          <w:iCs/>
        </w:rPr>
        <w:t xml:space="preserve"> not sufficient to comply with</w:t>
      </w:r>
      <w:r w:rsidR="003765BF" w:rsidRPr="003765BF">
        <w:t xml:space="preserve"> </w:t>
      </w:r>
      <w:r w:rsidR="003765BF">
        <w:rPr>
          <w:iCs/>
        </w:rPr>
        <w:t>Article 12.</w:t>
      </w:r>
      <w:r w:rsidR="003765BF">
        <w:t>”</w:t>
      </w:r>
      <w:r w:rsidR="003765BF">
        <w:rPr>
          <w:rStyle w:val="FootnoteReference"/>
        </w:rPr>
        <w:footnoteReference w:id="32"/>
      </w:r>
      <w:r w:rsidR="003765BF">
        <w:t xml:space="preserve"> </w:t>
      </w:r>
      <w:r>
        <w:t>However, i</w:t>
      </w:r>
      <w:r w:rsidR="003765BF">
        <w:t xml:space="preserve">t can be argued that this ignores the practical reality for some people with severe impairment and that </w:t>
      </w:r>
      <w:r w:rsidR="008100CC">
        <w:t>there will</w:t>
      </w:r>
      <w:r w:rsidR="003765BF">
        <w:t xml:space="preserve"> always be a role for representative or substitute </w:t>
      </w:r>
      <w:r w:rsidR="004E45F0">
        <w:t>decision-making</w:t>
      </w:r>
      <w:r w:rsidR="003765BF">
        <w:t xml:space="preserve"> regimes for people who cannot make decisions even with support.</w:t>
      </w:r>
    </w:p>
    <w:p w:rsidR="00B469C0" w:rsidRDefault="002762DE" w:rsidP="003765BF">
      <w:r>
        <w:t xml:space="preserve">A representative decision-making scheme should only apply in limited circumstances. The Mental Disability Advocacy Centre noted that a representative </w:t>
      </w:r>
      <w:r w:rsidR="00156AAE">
        <w:t>decision-making</w:t>
      </w:r>
      <w:r>
        <w:t xml:space="preserve"> scheme should only apply when</w:t>
      </w:r>
      <w:r>
        <w:rPr>
          <w:rStyle w:val="FootnoteReference"/>
        </w:rPr>
        <w:footnoteReference w:id="33"/>
      </w:r>
      <w:r>
        <w:t>:</w:t>
      </w:r>
    </w:p>
    <w:p w:rsidR="002762DE" w:rsidRDefault="002762DE" w:rsidP="002762DE">
      <w:pPr>
        <w:pStyle w:val="ListParagraph"/>
        <w:numPr>
          <w:ilvl w:val="0"/>
          <w:numId w:val="39"/>
        </w:numPr>
      </w:pPr>
      <w:r>
        <w:t>supports have been exhausted (including creative communication techniques, building relationships, accessible information) and they have not lead to a decision</w:t>
      </w:r>
    </w:p>
    <w:p w:rsidR="002762DE" w:rsidRDefault="002762DE" w:rsidP="002762DE">
      <w:pPr>
        <w:pStyle w:val="ListParagraph"/>
        <w:numPr>
          <w:ilvl w:val="0"/>
          <w:numId w:val="39"/>
        </w:numPr>
      </w:pPr>
      <w:r>
        <w:t>the individual’s will and preferences cannot be clearly and unambiguously ascertained or there appears to be substantial conflict between preferences</w:t>
      </w:r>
    </w:p>
    <w:p w:rsidR="002762DE" w:rsidRDefault="002762DE" w:rsidP="002762DE">
      <w:pPr>
        <w:pStyle w:val="ListParagraph"/>
        <w:numPr>
          <w:ilvl w:val="0"/>
          <w:numId w:val="39"/>
        </w:numPr>
      </w:pPr>
      <w:r>
        <w:t>the individual has not previously expressed his or her will and preference (e.g. in planning documents)</w:t>
      </w:r>
    </w:p>
    <w:p w:rsidR="002762DE" w:rsidRDefault="00752F92" w:rsidP="002762DE">
      <w:r>
        <w:t xml:space="preserve">Representative </w:t>
      </w:r>
      <w:r w:rsidR="00156AAE">
        <w:t>decision-making</w:t>
      </w:r>
      <w:r>
        <w:t xml:space="preserve"> may be appropriate in cases where people with disability are being abused, neglected, exploited or overprotected and are unable to recognise these breaches or assert themselves in responding to these breaches, and in cases where </w:t>
      </w:r>
      <w:r w:rsidR="00E77D6F">
        <w:t>there are disputes within families or between families and others about what decisions should be made.</w:t>
      </w:r>
      <w:r>
        <w:t xml:space="preserve"> </w:t>
      </w:r>
      <w:r w:rsidR="002762DE">
        <w:t>It is important</w:t>
      </w:r>
      <w:r w:rsidR="00E77D6F">
        <w:t>, however,</w:t>
      </w:r>
      <w:r w:rsidR="002762DE">
        <w:t xml:space="preserve"> that representative decision-making is not imposed on someone who is expressing an unpopular or unorthodox will or preference or a will or preference that is contrary to medical advice or the advice of mental health professionals. </w:t>
      </w:r>
    </w:p>
    <w:p w:rsidR="005A35B3" w:rsidRDefault="005A35B3" w:rsidP="003765BF">
      <w:r>
        <w:lastRenderedPageBreak/>
        <w:t xml:space="preserve">Under the Commonwealth </w:t>
      </w:r>
      <w:r w:rsidR="00156AAE">
        <w:t>Decision-making</w:t>
      </w:r>
      <w:r>
        <w:t xml:space="preserve"> Model suggested by the ALRC, a person may choose someone else to make decisions for them or someone may be appointed to make decisions for another person.</w:t>
      </w:r>
      <w:r>
        <w:rPr>
          <w:rStyle w:val="FootnoteReference"/>
        </w:rPr>
        <w:footnoteReference w:id="34"/>
      </w:r>
      <w:r>
        <w:t xml:space="preserve"> The representative would first attempt to support the person to express their will and preferences in order to make a decision. Where it is not possible to determine the person’s will and preferences, the representative would make </w:t>
      </w:r>
      <w:r w:rsidR="00B469C0">
        <w:t xml:space="preserve">a decision based on what the person would likely want, or on the basis of the person’s human rights relevant to the situation. </w:t>
      </w:r>
      <w:r w:rsidR="009A73C3">
        <w:t xml:space="preserve">This model would only be invoked as a last resort, and would be as confined in scope and duration as is reasonably possible and would be subject to accessible mechanisms for review. </w:t>
      </w:r>
    </w:p>
    <w:p w:rsidR="00E77D6F" w:rsidRDefault="009A73C3" w:rsidP="003765BF">
      <w:r>
        <w:t xml:space="preserve">The NSW Council of Intellectual Disability </w:t>
      </w:r>
      <w:r w:rsidR="001B40F9">
        <w:t>questions</w:t>
      </w:r>
      <w:r w:rsidR="0008668A">
        <w:t xml:space="preserve"> whether a person’s will and preferences should bind their representative and whether human rights are a sufficient basis for decisions.</w:t>
      </w:r>
      <w:r w:rsidR="0008668A">
        <w:rPr>
          <w:rStyle w:val="FootnoteReference"/>
        </w:rPr>
        <w:footnoteReference w:id="35"/>
      </w:r>
      <w:r w:rsidR="0008668A">
        <w:t xml:space="preserve"> The Council shares these concerns as people’s will and preferences could be influenced by their limited ability to understand options and consequences and wish for order, routine and predictability, and human rights are a complex concept that not all people wi</w:t>
      </w:r>
      <w:r w:rsidR="0016686E">
        <w:t>ll understand or be able to apply</w:t>
      </w:r>
      <w:r w:rsidR="0008668A">
        <w:t xml:space="preserve">. The Victorian Law Reform Commission in their final report on Guardianship recommended that </w:t>
      </w:r>
      <w:r w:rsidR="001B40F9">
        <w:t>representatives should be required to exercise their powers “in a manner that promotes the personal and social wellbeing of the person.”</w:t>
      </w:r>
      <w:r w:rsidR="009F219B">
        <w:rPr>
          <w:rStyle w:val="FootnoteReference"/>
        </w:rPr>
        <w:footnoteReference w:id="36"/>
      </w:r>
      <w:r w:rsidR="0016686E">
        <w:t xml:space="preserve"> This requirement should be imposed as an alternate or additional requirement to the requirement to consider a person’s will and preferences.</w:t>
      </w:r>
    </w:p>
    <w:p w:rsidR="0016686E" w:rsidRPr="008100CC" w:rsidRDefault="00257ABB" w:rsidP="0016686E">
      <w:pPr>
        <w:pBdr>
          <w:top w:val="single" w:sz="4" w:space="1" w:color="auto"/>
          <w:left w:val="single" w:sz="4" w:space="4" w:color="auto"/>
          <w:bottom w:val="single" w:sz="4" w:space="1" w:color="auto"/>
          <w:right w:val="single" w:sz="4" w:space="4" w:color="auto"/>
        </w:pBdr>
        <w:autoSpaceDE w:val="0"/>
        <w:autoSpaceDN w:val="0"/>
        <w:adjustRightInd w:val="0"/>
        <w:spacing w:before="0" w:after="0"/>
        <w:rPr>
          <w:b/>
        </w:rPr>
      </w:pPr>
      <w:r>
        <w:rPr>
          <w:b/>
        </w:rPr>
        <w:t>Recommendation 11</w:t>
      </w:r>
      <w:r w:rsidR="0016686E">
        <w:rPr>
          <w:b/>
        </w:rPr>
        <w:t xml:space="preserve">: </w:t>
      </w:r>
      <w:r w:rsidR="008D75E3" w:rsidRPr="008D75E3">
        <w:rPr>
          <w:b/>
        </w:rPr>
        <w:t>The decision-making framework should include a representative decision-making scheme that will require the representative to exercise their powers to promote the personal and social wellbeing of the person and can be implemented in limited circumstances where a person does not have the ability to make particular decisions.</w:t>
      </w:r>
    </w:p>
    <w:p w:rsidR="0088266F" w:rsidRDefault="0088266F" w:rsidP="0088266F">
      <w:pPr>
        <w:pStyle w:val="Default"/>
      </w:pPr>
    </w:p>
    <w:p w:rsidR="006D23D5" w:rsidRDefault="006D23D5" w:rsidP="006300A8">
      <w:pPr>
        <w:pStyle w:val="Heading2"/>
      </w:pPr>
      <w:bookmarkStart w:id="33" w:name="_Toc446329123"/>
      <w:r>
        <w:t>Safeguards against abuse, neglect and exploitation of people with disability</w:t>
      </w:r>
      <w:bookmarkEnd w:id="33"/>
    </w:p>
    <w:p w:rsidR="008F42A4" w:rsidRDefault="0061710A" w:rsidP="0088266F">
      <w:pPr>
        <w:autoSpaceDE w:val="0"/>
        <w:autoSpaceDN w:val="0"/>
        <w:adjustRightInd w:val="0"/>
        <w:spacing w:before="0" w:after="0"/>
      </w:pPr>
      <w:r>
        <w:t xml:space="preserve">Any decision-making framework must include mechanisms for ensuring accountability of supporters in a supported </w:t>
      </w:r>
      <w:r w:rsidR="00156AAE">
        <w:t>decision-making</w:t>
      </w:r>
      <w:r>
        <w:t xml:space="preserve"> scheme and representatives in a representative </w:t>
      </w:r>
      <w:r w:rsidR="00156AAE">
        <w:t>decision-making</w:t>
      </w:r>
      <w:r>
        <w:t xml:space="preserve"> scheme. </w:t>
      </w:r>
      <w:r w:rsidR="004F05F3">
        <w:t>Safeguard m</w:t>
      </w:r>
      <w:r>
        <w:t>echanisms could include</w:t>
      </w:r>
      <w:r w:rsidR="005F1857">
        <w:t>:</w:t>
      </w:r>
    </w:p>
    <w:p w:rsidR="005F1857" w:rsidRDefault="005F1857" w:rsidP="0088266F">
      <w:pPr>
        <w:autoSpaceDE w:val="0"/>
        <w:autoSpaceDN w:val="0"/>
        <w:adjustRightInd w:val="0"/>
        <w:spacing w:before="0" w:after="0"/>
      </w:pPr>
    </w:p>
    <w:p w:rsidR="0061710A" w:rsidRDefault="00973FFC" w:rsidP="0061710A">
      <w:pPr>
        <w:pStyle w:val="ListParagraph"/>
        <w:numPr>
          <w:ilvl w:val="0"/>
          <w:numId w:val="40"/>
        </w:numPr>
        <w:autoSpaceDE w:val="0"/>
        <w:autoSpaceDN w:val="0"/>
        <w:adjustRightInd w:val="0"/>
        <w:spacing w:before="0" w:after="0"/>
      </w:pPr>
      <w:r>
        <w:t xml:space="preserve">time and task specific </w:t>
      </w:r>
      <w:r w:rsidR="0061710A">
        <w:t>appointments</w:t>
      </w:r>
    </w:p>
    <w:p w:rsidR="00973FFC" w:rsidRDefault="00973FFC" w:rsidP="0061710A">
      <w:pPr>
        <w:pStyle w:val="ListParagraph"/>
        <w:numPr>
          <w:ilvl w:val="0"/>
          <w:numId w:val="40"/>
        </w:numPr>
        <w:autoSpaceDE w:val="0"/>
        <w:autoSpaceDN w:val="0"/>
        <w:adjustRightInd w:val="0"/>
        <w:spacing w:before="0" w:after="0"/>
      </w:pPr>
      <w:r>
        <w:t xml:space="preserve">the ability to revoke appointments at any time </w:t>
      </w:r>
    </w:p>
    <w:p w:rsidR="00973FFC" w:rsidRDefault="00973FFC" w:rsidP="0061710A">
      <w:pPr>
        <w:pStyle w:val="ListParagraph"/>
        <w:numPr>
          <w:ilvl w:val="0"/>
          <w:numId w:val="40"/>
        </w:numPr>
        <w:autoSpaceDE w:val="0"/>
        <w:autoSpaceDN w:val="0"/>
        <w:adjustRightInd w:val="0"/>
        <w:spacing w:before="0" w:after="0"/>
      </w:pPr>
      <w:r>
        <w:t xml:space="preserve">police checks </w:t>
      </w:r>
    </w:p>
    <w:p w:rsidR="0061710A" w:rsidRDefault="0061710A" w:rsidP="0061710A">
      <w:pPr>
        <w:pStyle w:val="ListParagraph"/>
        <w:numPr>
          <w:ilvl w:val="0"/>
          <w:numId w:val="40"/>
        </w:numPr>
        <w:autoSpaceDE w:val="0"/>
        <w:autoSpaceDN w:val="0"/>
        <w:adjustRightInd w:val="0"/>
        <w:spacing w:before="0" w:after="0"/>
      </w:pPr>
      <w:r>
        <w:t>monitoring and regula</w:t>
      </w:r>
      <w:r w:rsidR="00251F2E">
        <w:t>r review of orders and decisions</w:t>
      </w:r>
    </w:p>
    <w:p w:rsidR="00973FFC" w:rsidRDefault="00973FFC" w:rsidP="0061710A">
      <w:pPr>
        <w:pStyle w:val="ListParagraph"/>
        <w:numPr>
          <w:ilvl w:val="0"/>
          <w:numId w:val="40"/>
        </w:numPr>
        <w:autoSpaceDE w:val="0"/>
        <w:autoSpaceDN w:val="0"/>
        <w:adjustRightInd w:val="0"/>
        <w:spacing w:before="0" w:after="0"/>
      </w:pPr>
      <w:r>
        <w:t xml:space="preserve">the ability to appoint a monitor </w:t>
      </w:r>
      <w:r w:rsidR="005F1857">
        <w:t>to oversee appointments</w:t>
      </w:r>
    </w:p>
    <w:p w:rsidR="008F5261" w:rsidRDefault="008F5261" w:rsidP="0061710A">
      <w:pPr>
        <w:pStyle w:val="ListParagraph"/>
        <w:numPr>
          <w:ilvl w:val="0"/>
          <w:numId w:val="40"/>
        </w:numPr>
        <w:autoSpaceDE w:val="0"/>
        <w:autoSpaceDN w:val="0"/>
        <w:adjustRightInd w:val="0"/>
        <w:spacing w:before="0" w:after="0"/>
      </w:pPr>
      <w:r>
        <w:t>automatic review of financial management arrangements every two years</w:t>
      </w:r>
    </w:p>
    <w:p w:rsidR="0061710A" w:rsidRDefault="0061710A" w:rsidP="0061710A">
      <w:pPr>
        <w:pStyle w:val="ListParagraph"/>
        <w:numPr>
          <w:ilvl w:val="0"/>
          <w:numId w:val="40"/>
        </w:numPr>
        <w:autoSpaceDE w:val="0"/>
        <w:autoSpaceDN w:val="0"/>
        <w:adjustRightInd w:val="0"/>
        <w:spacing w:before="0" w:after="0"/>
      </w:pPr>
      <w:r>
        <w:t>accessible appeal and complaints avenues</w:t>
      </w:r>
    </w:p>
    <w:p w:rsidR="00251F2E" w:rsidRDefault="00251F2E" w:rsidP="0061710A">
      <w:pPr>
        <w:pStyle w:val="ListParagraph"/>
        <w:numPr>
          <w:ilvl w:val="0"/>
          <w:numId w:val="40"/>
        </w:numPr>
        <w:autoSpaceDE w:val="0"/>
        <w:autoSpaceDN w:val="0"/>
        <w:adjustRightInd w:val="0"/>
        <w:spacing w:before="0" w:after="0"/>
      </w:pPr>
      <w:r>
        <w:lastRenderedPageBreak/>
        <w:t>civil penalties for abusing, neglecting</w:t>
      </w:r>
      <w:r w:rsidR="00973FFC">
        <w:t xml:space="preserve"> or exploiting a person with impaired decision-making ability</w:t>
      </w:r>
      <w:r w:rsidR="00973FFC">
        <w:rPr>
          <w:rStyle w:val="FootnoteReference"/>
        </w:rPr>
        <w:footnoteReference w:id="37"/>
      </w:r>
      <w:r>
        <w:t xml:space="preserve"> </w:t>
      </w:r>
    </w:p>
    <w:p w:rsidR="00973FFC" w:rsidRDefault="00973FFC" w:rsidP="0061710A">
      <w:pPr>
        <w:pStyle w:val="ListParagraph"/>
        <w:numPr>
          <w:ilvl w:val="0"/>
          <w:numId w:val="40"/>
        </w:numPr>
        <w:autoSpaceDE w:val="0"/>
        <w:autoSpaceDN w:val="0"/>
        <w:adjustRightInd w:val="0"/>
        <w:spacing w:before="0" w:after="0"/>
      </w:pPr>
      <w:r>
        <w:t>an online register of appointments</w:t>
      </w:r>
      <w:r w:rsidR="004F05F3">
        <w:rPr>
          <w:rStyle w:val="FootnoteReference"/>
        </w:rPr>
        <w:footnoteReference w:id="38"/>
      </w:r>
    </w:p>
    <w:p w:rsidR="0061710A" w:rsidRDefault="0061710A" w:rsidP="005F1857">
      <w:pPr>
        <w:autoSpaceDE w:val="0"/>
        <w:autoSpaceDN w:val="0"/>
        <w:adjustRightInd w:val="0"/>
        <w:spacing w:before="0" w:after="0"/>
      </w:pPr>
    </w:p>
    <w:p w:rsidR="005F1857" w:rsidRDefault="005F1857" w:rsidP="005F1857">
      <w:pPr>
        <w:autoSpaceDE w:val="0"/>
        <w:autoSpaceDN w:val="0"/>
        <w:adjustRightInd w:val="0"/>
        <w:spacing w:before="0" w:after="0"/>
      </w:pPr>
      <w:r>
        <w:t>Proportionate safeguards are necessary given the possibilities of undue influence, abuse and exploitation in any decision-making framework. However, it is also important to avoid excessive regulation as</w:t>
      </w:r>
      <w:r w:rsidR="00404032">
        <w:t xml:space="preserve"> this could unduly interfere </w:t>
      </w:r>
      <w:r w:rsidR="00301099">
        <w:t>with relationships</w:t>
      </w:r>
      <w:r w:rsidR="00624B22">
        <w:t xml:space="preserve"> between the person and supporter and undermine the trust that the supporter relationship is built on. </w:t>
      </w:r>
      <w:r w:rsidR="00301099">
        <w:t xml:space="preserve"> </w:t>
      </w:r>
      <w:r w:rsidR="0067142B">
        <w:t xml:space="preserve"> </w:t>
      </w:r>
      <w:bookmarkStart w:id="34" w:name="_GoBack"/>
      <w:bookmarkEnd w:id="34"/>
    </w:p>
    <w:p w:rsidR="0067142B" w:rsidRPr="0067142B" w:rsidRDefault="00257ABB" w:rsidP="0067142B">
      <w:pPr>
        <w:pBdr>
          <w:top w:val="single" w:sz="4" w:space="1" w:color="auto"/>
          <w:left w:val="single" w:sz="4" w:space="4" w:color="auto"/>
          <w:bottom w:val="single" w:sz="4" w:space="1" w:color="auto"/>
          <w:right w:val="single" w:sz="4" w:space="4" w:color="auto"/>
        </w:pBdr>
        <w:autoSpaceDE w:val="0"/>
        <w:autoSpaceDN w:val="0"/>
        <w:adjustRightInd w:val="0"/>
        <w:spacing w:before="0" w:after="0"/>
        <w:rPr>
          <w:b/>
        </w:rPr>
      </w:pPr>
      <w:r>
        <w:rPr>
          <w:b/>
        </w:rPr>
        <w:t>Recommendation 12</w:t>
      </w:r>
      <w:r w:rsidR="004C0BEA">
        <w:rPr>
          <w:b/>
        </w:rPr>
        <w:t xml:space="preserve">: </w:t>
      </w:r>
      <w:r w:rsidR="004C0BEA" w:rsidRPr="00A135CA">
        <w:rPr>
          <w:b/>
        </w:rPr>
        <w:t xml:space="preserve">The </w:t>
      </w:r>
      <w:r w:rsidR="004C0BEA">
        <w:rPr>
          <w:b/>
        </w:rPr>
        <w:t>decision-making</w:t>
      </w:r>
      <w:r w:rsidR="004C0BEA" w:rsidRPr="00A135CA">
        <w:rPr>
          <w:b/>
        </w:rPr>
        <w:t xml:space="preserve"> framework</w:t>
      </w:r>
      <w:r w:rsidR="004C0BEA">
        <w:rPr>
          <w:b/>
        </w:rPr>
        <w:t xml:space="preserve"> should </w:t>
      </w:r>
      <w:r w:rsidR="00624B22">
        <w:rPr>
          <w:b/>
        </w:rPr>
        <w:t>include safeguards against abuse, neglect and exploitation of people with disability.</w:t>
      </w:r>
    </w:p>
    <w:p w:rsidR="00B047F3" w:rsidRDefault="00B047F3" w:rsidP="00B047F3">
      <w:pPr>
        <w:pStyle w:val="Heading2"/>
      </w:pPr>
      <w:bookmarkStart w:id="35" w:name="_Toc446329124"/>
      <w:r>
        <w:t xml:space="preserve">Legislative provisions that explicitly address the circumstances in which the use of restrictive practices will be lawful in relation to people with impaired </w:t>
      </w:r>
      <w:r w:rsidR="00156AAE">
        <w:t>decision-making</w:t>
      </w:r>
      <w:r>
        <w:t xml:space="preserve"> ability</w:t>
      </w:r>
      <w:bookmarkEnd w:id="35"/>
    </w:p>
    <w:p w:rsidR="00B047F3" w:rsidRDefault="00B047F3" w:rsidP="00B047F3">
      <w:r>
        <w:t>In NSW, the use of restrictive practices is regulated by a lengthy policy directive.</w:t>
      </w:r>
      <w:r>
        <w:rPr>
          <w:rStyle w:val="FootnoteReference"/>
        </w:rPr>
        <w:footnoteReference w:id="39"/>
      </w:r>
      <w:r>
        <w:t xml:space="preserve"> There is a need for legislation to properly regulate, and more importantly, reduce the need of restrictive practices. The legislation should:</w:t>
      </w:r>
    </w:p>
    <w:p w:rsidR="00B047F3" w:rsidRDefault="00B047F3" w:rsidP="00B047F3">
      <w:pPr>
        <w:pStyle w:val="ListParagraph"/>
        <w:numPr>
          <w:ilvl w:val="0"/>
          <w:numId w:val="41"/>
        </w:numPr>
      </w:pPr>
      <w:r>
        <w:t>apply in all situations of informal support (e.g. in the family context), in the specialist mental health, brain injury and disability service systems, and in the commercial disability service s</w:t>
      </w:r>
      <w:r w:rsidR="00F7563E">
        <w:t>ector</w:t>
      </w:r>
    </w:p>
    <w:p w:rsidR="00F7563E" w:rsidRDefault="00F7563E" w:rsidP="00F7563E">
      <w:pPr>
        <w:pStyle w:val="ListParagraph"/>
        <w:numPr>
          <w:ilvl w:val="0"/>
          <w:numId w:val="41"/>
        </w:numPr>
      </w:pPr>
      <w:r>
        <w:t>provide that the use of restrictive practices is exceptional, short term and must be</w:t>
      </w:r>
    </w:p>
    <w:p w:rsidR="00F7563E" w:rsidRDefault="00F7563E" w:rsidP="00F7563E">
      <w:pPr>
        <w:pStyle w:val="ListParagraph"/>
      </w:pPr>
      <w:r>
        <w:t>justified as necessary to protect he safety and interests of the person with disability</w:t>
      </w:r>
    </w:p>
    <w:p w:rsidR="00B047F3" w:rsidRDefault="00B047F3" w:rsidP="00B047F3">
      <w:pPr>
        <w:pStyle w:val="ListParagraph"/>
        <w:numPr>
          <w:ilvl w:val="0"/>
          <w:numId w:val="41"/>
        </w:numPr>
      </w:pPr>
      <w:r>
        <w:t>provide that certain restrictive practices are entirely prohibited, including practices that are experimental, cause pain or discomfort, are cruel, inhuman, degrading or humiliating, physical restraint, seclusion and/or result in emotional, psychological or other harm</w:t>
      </w:r>
    </w:p>
    <w:p w:rsidR="009F24CB" w:rsidRDefault="009F24CB" w:rsidP="00B047F3">
      <w:pPr>
        <w:pStyle w:val="ListParagraph"/>
        <w:numPr>
          <w:ilvl w:val="0"/>
          <w:numId w:val="41"/>
        </w:numPr>
      </w:pPr>
      <w:r>
        <w:t>provide for independent expert approval and oversight of the use of restrictive practices</w:t>
      </w:r>
    </w:p>
    <w:p w:rsidR="009F24CB" w:rsidRDefault="009F24CB" w:rsidP="00B047F3">
      <w:pPr>
        <w:pStyle w:val="ListParagraph"/>
        <w:numPr>
          <w:ilvl w:val="0"/>
          <w:numId w:val="41"/>
        </w:numPr>
      </w:pPr>
      <w:r>
        <w:t>require regular independent review of the use of restrictive practices</w:t>
      </w:r>
    </w:p>
    <w:p w:rsidR="009F24CB" w:rsidRDefault="00F7563E" w:rsidP="00B047F3">
      <w:pPr>
        <w:pStyle w:val="ListParagraph"/>
        <w:numPr>
          <w:ilvl w:val="0"/>
          <w:numId w:val="41"/>
        </w:numPr>
      </w:pPr>
      <w:r>
        <w:t xml:space="preserve">require that any authorisation of restrictive practices is time limited </w:t>
      </w:r>
    </w:p>
    <w:p w:rsidR="00156AAE" w:rsidRDefault="00156AAE" w:rsidP="00156AAE">
      <w:r>
        <w:t xml:space="preserve">Legislative provisions that address the use of restrictive practices are particularly important </w:t>
      </w:r>
      <w:r w:rsidR="004F05F3">
        <w:t xml:space="preserve">in NSW </w:t>
      </w:r>
      <w:r>
        <w:t xml:space="preserve">given the transition to the NDIS and transfer of all government run disability services and accommodation to the non government sector. It is important that effective mechanisms are in place to ensure </w:t>
      </w:r>
      <w:r w:rsidR="00F23095">
        <w:t xml:space="preserve">the human rights of people with disability are upheld and </w:t>
      </w:r>
      <w:r>
        <w:t>the use of r</w:t>
      </w:r>
      <w:r w:rsidR="00F23095">
        <w:t xml:space="preserve">estrictive practices is the exception rather than the rule. </w:t>
      </w:r>
    </w:p>
    <w:p w:rsidR="0067142B" w:rsidRDefault="00257ABB" w:rsidP="0067142B">
      <w:pPr>
        <w:pBdr>
          <w:top w:val="single" w:sz="4" w:space="1" w:color="auto"/>
          <w:left w:val="single" w:sz="4" w:space="4" w:color="auto"/>
          <w:bottom w:val="single" w:sz="4" w:space="1" w:color="auto"/>
          <w:right w:val="single" w:sz="4" w:space="4" w:color="auto"/>
        </w:pBdr>
        <w:autoSpaceDE w:val="0"/>
        <w:autoSpaceDN w:val="0"/>
        <w:adjustRightInd w:val="0"/>
        <w:spacing w:before="0" w:after="0"/>
        <w:rPr>
          <w:b/>
          <w:sz w:val="22"/>
          <w:szCs w:val="22"/>
        </w:rPr>
      </w:pPr>
      <w:r>
        <w:rPr>
          <w:b/>
          <w:sz w:val="22"/>
          <w:szCs w:val="22"/>
        </w:rPr>
        <w:t>Recommendation 13</w:t>
      </w:r>
      <w:r w:rsidR="00B047F3">
        <w:rPr>
          <w:b/>
          <w:sz w:val="22"/>
          <w:szCs w:val="22"/>
        </w:rPr>
        <w:t xml:space="preserve">: The </w:t>
      </w:r>
      <w:r w:rsidR="00156AAE">
        <w:rPr>
          <w:b/>
          <w:sz w:val="22"/>
          <w:szCs w:val="22"/>
        </w:rPr>
        <w:t>decision-making</w:t>
      </w:r>
      <w:r w:rsidR="00B047F3">
        <w:rPr>
          <w:b/>
          <w:sz w:val="22"/>
          <w:szCs w:val="22"/>
        </w:rPr>
        <w:t xml:space="preserve"> framework should explicitly address the circumstances in which </w:t>
      </w:r>
      <w:r w:rsidR="00B047F3" w:rsidRPr="00B047F3">
        <w:rPr>
          <w:b/>
          <w:sz w:val="22"/>
          <w:szCs w:val="22"/>
        </w:rPr>
        <w:t xml:space="preserve">the use of restrictive practices will be lawful in relation to people with impaired </w:t>
      </w:r>
      <w:r w:rsidR="00156AAE">
        <w:rPr>
          <w:b/>
          <w:sz w:val="22"/>
          <w:szCs w:val="22"/>
        </w:rPr>
        <w:t>decision-making</w:t>
      </w:r>
      <w:r w:rsidR="00B047F3" w:rsidRPr="00B047F3">
        <w:rPr>
          <w:b/>
          <w:sz w:val="22"/>
          <w:szCs w:val="22"/>
        </w:rPr>
        <w:t xml:space="preserve"> ability</w:t>
      </w:r>
      <w:r w:rsidR="00B047F3">
        <w:rPr>
          <w:b/>
          <w:sz w:val="22"/>
          <w:szCs w:val="22"/>
        </w:rPr>
        <w:t xml:space="preserve"> and establish an independent office to regulate the use of restrictive practices.</w:t>
      </w:r>
    </w:p>
    <w:p w:rsidR="00144B6F" w:rsidRPr="0067142B" w:rsidRDefault="00B047F3" w:rsidP="0067142B">
      <w:pPr>
        <w:pStyle w:val="Heading1"/>
        <w:rPr>
          <w:rFonts w:ascii="Calibri,Italic" w:hAnsi="Calibri,Italic" w:cs="Calibri,Italic"/>
          <w:iCs/>
          <w:sz w:val="22"/>
          <w:szCs w:val="22"/>
          <w:u w:val="single"/>
        </w:rPr>
      </w:pPr>
      <w:bookmarkStart w:id="36" w:name="_Toc446329125"/>
      <w:r>
        <w:rPr>
          <w:lang w:eastAsia="en-US"/>
        </w:rPr>
        <w:lastRenderedPageBreak/>
        <w:t xml:space="preserve">Reference </w:t>
      </w:r>
      <w:r w:rsidR="00144B6F">
        <w:rPr>
          <w:lang w:eastAsia="en-US"/>
        </w:rPr>
        <w:t>List</w:t>
      </w:r>
      <w:bookmarkEnd w:id="36"/>
    </w:p>
    <w:p w:rsidR="00F26257" w:rsidRPr="007D0993" w:rsidRDefault="00F26257" w:rsidP="00F26257">
      <w:pPr>
        <w:pStyle w:val="FootnoteText"/>
        <w:rPr>
          <w:sz w:val="24"/>
          <w:szCs w:val="24"/>
          <w:lang w:val="en-US"/>
        </w:rPr>
      </w:pPr>
      <w:r w:rsidRPr="007D0993">
        <w:rPr>
          <w:sz w:val="24"/>
          <w:szCs w:val="24"/>
        </w:rPr>
        <w:t xml:space="preserve">Australian Law Reform Commission (2014) </w:t>
      </w:r>
      <w:r w:rsidRPr="007D0993">
        <w:rPr>
          <w:i/>
          <w:sz w:val="24"/>
          <w:szCs w:val="24"/>
        </w:rPr>
        <w:t>Equality, Capacity and Disability in Commonwealth Laws</w:t>
      </w:r>
      <w:r w:rsidRPr="007D0993">
        <w:rPr>
          <w:sz w:val="24"/>
          <w:szCs w:val="24"/>
        </w:rPr>
        <w:t xml:space="preserve"> </w:t>
      </w:r>
      <w:hyperlink r:id="rId13" w:history="1">
        <w:r w:rsidRPr="007D0993">
          <w:rPr>
            <w:rStyle w:val="Hyperlink"/>
            <w:sz w:val="24"/>
            <w:szCs w:val="24"/>
          </w:rPr>
          <w:t>https://www.alrc.gov.au/publications/equality-capacity-disability-report-124</w:t>
        </w:r>
      </w:hyperlink>
      <w:r w:rsidRPr="007D0993">
        <w:rPr>
          <w:sz w:val="24"/>
          <w:szCs w:val="24"/>
        </w:rPr>
        <w:t xml:space="preserve"> </w:t>
      </w:r>
    </w:p>
    <w:p w:rsidR="00F26257" w:rsidRPr="007D0993" w:rsidRDefault="00F26257" w:rsidP="00F26257">
      <w:pPr>
        <w:pStyle w:val="FootnoteText"/>
        <w:rPr>
          <w:sz w:val="24"/>
          <w:szCs w:val="24"/>
        </w:rPr>
      </w:pPr>
    </w:p>
    <w:p w:rsidR="00F26257" w:rsidRPr="007D0993" w:rsidRDefault="00F26257" w:rsidP="00F26257">
      <w:pPr>
        <w:pStyle w:val="FootnoteText"/>
        <w:rPr>
          <w:i/>
          <w:sz w:val="24"/>
          <w:szCs w:val="24"/>
          <w:lang w:val="en-US"/>
        </w:rPr>
      </w:pPr>
      <w:r w:rsidRPr="007D0993">
        <w:rPr>
          <w:sz w:val="24"/>
          <w:szCs w:val="24"/>
          <w:lang w:val="en-US"/>
        </w:rPr>
        <w:t xml:space="preserve">Bach, M. &amp; </w:t>
      </w:r>
      <w:proofErr w:type="spellStart"/>
      <w:r w:rsidRPr="007D0993">
        <w:rPr>
          <w:sz w:val="24"/>
          <w:szCs w:val="24"/>
          <w:lang w:val="en-US"/>
        </w:rPr>
        <w:t>Kerzner</w:t>
      </w:r>
      <w:proofErr w:type="spellEnd"/>
      <w:r w:rsidRPr="007D0993">
        <w:rPr>
          <w:sz w:val="24"/>
          <w:szCs w:val="24"/>
          <w:lang w:val="en-US"/>
        </w:rPr>
        <w:t xml:space="preserve">, I. (2010) </w:t>
      </w:r>
      <w:r w:rsidRPr="007D0993">
        <w:rPr>
          <w:i/>
          <w:sz w:val="24"/>
          <w:szCs w:val="24"/>
          <w:lang w:val="en-US"/>
        </w:rPr>
        <w:t xml:space="preserve">A new paradigm for protecting autonomy and the right to legal capacity </w:t>
      </w:r>
      <w:hyperlink r:id="rId14" w:history="1">
        <w:r w:rsidRPr="007D0993">
          <w:rPr>
            <w:rStyle w:val="Hyperlink"/>
            <w:sz w:val="24"/>
            <w:szCs w:val="24"/>
            <w:lang w:val="en-US"/>
          </w:rPr>
          <w:t>http://www.lco-cdo.org/disabilities/bach-kerzner.pdf</w:t>
        </w:r>
      </w:hyperlink>
      <w:r w:rsidRPr="007D0993">
        <w:rPr>
          <w:sz w:val="24"/>
          <w:szCs w:val="24"/>
          <w:lang w:val="en-US"/>
        </w:rPr>
        <w:t xml:space="preserve">. </w:t>
      </w:r>
    </w:p>
    <w:p w:rsidR="00F26257" w:rsidRPr="007D0993" w:rsidRDefault="00F26257" w:rsidP="00F26257">
      <w:pPr>
        <w:pStyle w:val="FootnoteText"/>
        <w:rPr>
          <w:sz w:val="24"/>
          <w:szCs w:val="24"/>
        </w:rPr>
      </w:pPr>
    </w:p>
    <w:p w:rsidR="00F26257" w:rsidRPr="007D0993" w:rsidRDefault="00F26257" w:rsidP="00F26257">
      <w:pPr>
        <w:pStyle w:val="FootnoteText"/>
        <w:rPr>
          <w:sz w:val="24"/>
          <w:szCs w:val="24"/>
          <w:lang w:val="en-US"/>
        </w:rPr>
      </w:pPr>
      <w:r w:rsidRPr="007D0993">
        <w:rPr>
          <w:sz w:val="24"/>
          <w:szCs w:val="24"/>
        </w:rPr>
        <w:t xml:space="preserve">Department of Family and Community Services Ageing, Disability and Home Care NSW (2009) </w:t>
      </w:r>
      <w:r w:rsidRPr="007D0993">
        <w:rPr>
          <w:i/>
          <w:sz w:val="24"/>
          <w:szCs w:val="24"/>
        </w:rPr>
        <w:t>Behaviour Support Policy and Practice Manual Part 1 and 2</w:t>
      </w:r>
      <w:r w:rsidRPr="007D0993">
        <w:rPr>
          <w:sz w:val="24"/>
          <w:szCs w:val="24"/>
        </w:rPr>
        <w:t xml:space="preserve"> </w:t>
      </w:r>
      <w:hyperlink w:history="1">
        <w:r w:rsidR="007D0993" w:rsidRPr="00407A6D">
          <w:rPr>
            <w:rStyle w:val="Hyperlink"/>
            <w:sz w:val="24"/>
            <w:szCs w:val="24"/>
          </w:rPr>
          <w:t>https://www. adhc.nsw.gov.au/sp/delivering_disability_services/behaviour_support_services/behaviour_support_policy_and_practice_manual</w:t>
        </w:r>
      </w:hyperlink>
      <w:r w:rsidRPr="007D0993">
        <w:rPr>
          <w:sz w:val="24"/>
          <w:szCs w:val="24"/>
        </w:rPr>
        <w:t xml:space="preserve">. </w:t>
      </w:r>
    </w:p>
    <w:p w:rsidR="00F26257" w:rsidRPr="007D0993" w:rsidRDefault="00F26257" w:rsidP="00F26257">
      <w:pPr>
        <w:pStyle w:val="FootnoteText"/>
        <w:rPr>
          <w:sz w:val="24"/>
          <w:szCs w:val="24"/>
        </w:rPr>
      </w:pPr>
    </w:p>
    <w:p w:rsidR="00F26257" w:rsidRPr="007D0993" w:rsidRDefault="00F26257" w:rsidP="00F26257">
      <w:pPr>
        <w:pStyle w:val="FootnoteText"/>
        <w:rPr>
          <w:sz w:val="24"/>
          <w:szCs w:val="24"/>
          <w:lang w:val="en-US"/>
        </w:rPr>
      </w:pPr>
      <w:r w:rsidRPr="007D0993">
        <w:rPr>
          <w:sz w:val="24"/>
          <w:szCs w:val="24"/>
        </w:rPr>
        <w:t xml:space="preserve">Department of Family and Community Services NSW (2015) </w:t>
      </w:r>
      <w:r w:rsidRPr="007D0993">
        <w:rPr>
          <w:i/>
          <w:sz w:val="24"/>
          <w:szCs w:val="24"/>
        </w:rPr>
        <w:t>My Life, My Decision: An Independent Evaluation of the Supported Decision Making Pilot</w:t>
      </w:r>
      <w:r w:rsidRPr="007D0993">
        <w:rPr>
          <w:sz w:val="24"/>
          <w:szCs w:val="24"/>
        </w:rPr>
        <w:t xml:space="preserve"> </w:t>
      </w:r>
      <w:hyperlink w:history="1">
        <w:r w:rsidR="007D0993" w:rsidRPr="00407A6D">
          <w:rPr>
            <w:rStyle w:val="Hyperlink"/>
            <w:sz w:val="24"/>
            <w:szCs w:val="24"/>
          </w:rPr>
          <w:t>http://www.adhc. nsw.gov.au/__data/assets/file/0009/346194/sdm_pilot_project_evaluation_report.pdf</w:t>
        </w:r>
      </w:hyperlink>
      <w:r w:rsidRPr="007D0993">
        <w:rPr>
          <w:sz w:val="24"/>
          <w:szCs w:val="24"/>
        </w:rPr>
        <w:t xml:space="preserve">. </w:t>
      </w:r>
    </w:p>
    <w:p w:rsidR="00F26257" w:rsidRPr="007D0993" w:rsidRDefault="00F26257" w:rsidP="00F26257">
      <w:pPr>
        <w:pStyle w:val="FootnoteText"/>
        <w:rPr>
          <w:sz w:val="24"/>
          <w:szCs w:val="24"/>
        </w:rPr>
      </w:pPr>
    </w:p>
    <w:p w:rsidR="00F26257" w:rsidRPr="007D0993" w:rsidRDefault="00F26257" w:rsidP="00F26257">
      <w:pPr>
        <w:pStyle w:val="FootnoteText"/>
        <w:rPr>
          <w:sz w:val="24"/>
          <w:szCs w:val="24"/>
        </w:rPr>
      </w:pPr>
      <w:r w:rsidRPr="007D0993">
        <w:rPr>
          <w:sz w:val="24"/>
          <w:szCs w:val="24"/>
        </w:rPr>
        <w:t xml:space="preserve">Disability Council NSW (2014) </w:t>
      </w:r>
      <w:r w:rsidRPr="007D0993">
        <w:rPr>
          <w:i/>
          <w:sz w:val="24"/>
          <w:szCs w:val="24"/>
        </w:rPr>
        <w:t>Nothing About Us Without Us – Community Feedback Report on the NDS NSW Implementation Plan (2012-2014)</w:t>
      </w:r>
      <w:r w:rsidRPr="007D0993">
        <w:rPr>
          <w:sz w:val="24"/>
          <w:szCs w:val="24"/>
        </w:rPr>
        <w:t xml:space="preserve"> </w:t>
      </w:r>
      <w:hyperlink w:history="1">
        <w:r w:rsidR="007D0993" w:rsidRPr="00407A6D">
          <w:rPr>
            <w:rStyle w:val="Hyperlink"/>
            <w:sz w:val="24"/>
            <w:szCs w:val="24"/>
          </w:rPr>
          <w:t>http://www.disabilitycouncil. nsw.gov.au/__data/ assets/pdf_file/0016/311290/210814-Feedback-Report-on-NDS-Implementation-Plan.pdf</w:t>
        </w:r>
      </w:hyperlink>
      <w:r w:rsidRPr="007D0993">
        <w:rPr>
          <w:sz w:val="24"/>
          <w:szCs w:val="24"/>
        </w:rPr>
        <w:t xml:space="preserve">. </w:t>
      </w:r>
    </w:p>
    <w:p w:rsidR="00F26257" w:rsidRPr="007D0993" w:rsidRDefault="00F26257" w:rsidP="00F26257">
      <w:pPr>
        <w:pStyle w:val="FootnoteText"/>
        <w:rPr>
          <w:sz w:val="24"/>
          <w:szCs w:val="24"/>
          <w:lang w:val="en-US"/>
        </w:rPr>
      </w:pPr>
      <w:r w:rsidRPr="007D0993">
        <w:rPr>
          <w:sz w:val="24"/>
          <w:szCs w:val="24"/>
        </w:rPr>
        <w:t xml:space="preserve"> </w:t>
      </w:r>
    </w:p>
    <w:p w:rsidR="00F26257" w:rsidRPr="007D0993" w:rsidRDefault="00F26257" w:rsidP="00F26257">
      <w:pPr>
        <w:pStyle w:val="FootnoteText"/>
        <w:rPr>
          <w:sz w:val="24"/>
          <w:szCs w:val="24"/>
          <w:lang w:val="en-US"/>
        </w:rPr>
      </w:pPr>
      <w:r w:rsidRPr="007D0993">
        <w:rPr>
          <w:i/>
          <w:sz w:val="24"/>
          <w:szCs w:val="24"/>
        </w:rPr>
        <w:t>Guardianship and Administration Act</w:t>
      </w:r>
      <w:r w:rsidRPr="007D0993">
        <w:rPr>
          <w:sz w:val="24"/>
          <w:szCs w:val="24"/>
        </w:rPr>
        <w:t xml:space="preserve"> </w:t>
      </w:r>
      <w:r w:rsidRPr="007D0993">
        <w:rPr>
          <w:i/>
          <w:sz w:val="24"/>
          <w:szCs w:val="24"/>
        </w:rPr>
        <w:t>2000</w:t>
      </w:r>
      <w:r w:rsidRPr="007D0993">
        <w:rPr>
          <w:sz w:val="24"/>
          <w:szCs w:val="24"/>
        </w:rPr>
        <w:t xml:space="preserve"> (Qld)</w:t>
      </w:r>
    </w:p>
    <w:p w:rsidR="00F26257" w:rsidRPr="007D0993" w:rsidRDefault="00F26257" w:rsidP="00F26257">
      <w:pPr>
        <w:pStyle w:val="FootnoteText"/>
        <w:rPr>
          <w:i/>
          <w:sz w:val="24"/>
          <w:szCs w:val="24"/>
          <w:lang w:val="en-US"/>
        </w:rPr>
      </w:pPr>
    </w:p>
    <w:p w:rsidR="00F26257" w:rsidRPr="007D0993" w:rsidRDefault="00F26257" w:rsidP="00F26257">
      <w:pPr>
        <w:pStyle w:val="FootnoteText"/>
        <w:rPr>
          <w:sz w:val="24"/>
          <w:szCs w:val="24"/>
          <w:lang w:val="en-US"/>
        </w:rPr>
      </w:pPr>
      <w:r w:rsidRPr="007D0993">
        <w:rPr>
          <w:i/>
          <w:sz w:val="24"/>
          <w:szCs w:val="24"/>
          <w:lang w:val="en-US"/>
        </w:rPr>
        <w:t xml:space="preserve">Guardianship Act 1987 </w:t>
      </w:r>
      <w:r w:rsidRPr="007D0993">
        <w:rPr>
          <w:sz w:val="24"/>
          <w:szCs w:val="24"/>
          <w:lang w:val="en-US"/>
        </w:rPr>
        <w:t>(NSW)</w:t>
      </w:r>
    </w:p>
    <w:p w:rsidR="00F26257" w:rsidRPr="007D0993" w:rsidRDefault="00F26257" w:rsidP="00F26257">
      <w:pPr>
        <w:pStyle w:val="FootnoteText"/>
        <w:rPr>
          <w:sz w:val="24"/>
          <w:szCs w:val="24"/>
          <w:lang w:val="en-US"/>
        </w:rPr>
      </w:pPr>
    </w:p>
    <w:p w:rsidR="00F26257" w:rsidRPr="007D0993" w:rsidRDefault="00F26257" w:rsidP="00F26257">
      <w:pPr>
        <w:pStyle w:val="FootnoteText"/>
        <w:rPr>
          <w:sz w:val="24"/>
          <w:szCs w:val="24"/>
          <w:lang w:val="en-US"/>
        </w:rPr>
      </w:pPr>
      <w:r w:rsidRPr="007D0993">
        <w:rPr>
          <w:sz w:val="24"/>
          <w:szCs w:val="24"/>
          <w:lang w:val="en-US"/>
        </w:rPr>
        <w:t xml:space="preserve">International Covenant on Civil and Political Rights (1966) </w:t>
      </w:r>
      <w:hyperlink r:id="rId15" w:history="1">
        <w:r w:rsidRPr="007D0993">
          <w:rPr>
            <w:rStyle w:val="Hyperlink"/>
            <w:sz w:val="24"/>
            <w:szCs w:val="24"/>
            <w:lang w:val="en-US"/>
          </w:rPr>
          <w:t xml:space="preserve">http://www.ohchr.org/en/ </w:t>
        </w:r>
        <w:proofErr w:type="spellStart"/>
        <w:r w:rsidRPr="007D0993">
          <w:rPr>
            <w:rStyle w:val="Hyperlink"/>
            <w:sz w:val="24"/>
            <w:szCs w:val="24"/>
            <w:lang w:val="en-US"/>
          </w:rPr>
          <w:t>professionalinterest</w:t>
        </w:r>
        <w:proofErr w:type="spellEnd"/>
        <w:r w:rsidRPr="007D0993">
          <w:rPr>
            <w:rStyle w:val="Hyperlink"/>
            <w:sz w:val="24"/>
            <w:szCs w:val="24"/>
            <w:lang w:val="en-US"/>
          </w:rPr>
          <w:t>/pages/ccpr.aspx</w:t>
        </w:r>
      </w:hyperlink>
      <w:r w:rsidRPr="007D0993">
        <w:rPr>
          <w:sz w:val="24"/>
          <w:szCs w:val="24"/>
          <w:lang w:val="en-US"/>
        </w:rPr>
        <w:t xml:space="preserve">. </w:t>
      </w:r>
    </w:p>
    <w:p w:rsidR="007D0993" w:rsidRPr="007D0993" w:rsidRDefault="007D0993" w:rsidP="007D0993">
      <w:pPr>
        <w:pStyle w:val="FootnoteText"/>
        <w:rPr>
          <w:rFonts w:cs="Arial"/>
          <w:sz w:val="24"/>
          <w:szCs w:val="24"/>
          <w:shd w:val="clear" w:color="auto" w:fill="FFFFFF"/>
        </w:rPr>
      </w:pPr>
    </w:p>
    <w:p w:rsidR="007D0993" w:rsidRPr="007D0993" w:rsidRDefault="007D0993" w:rsidP="00F26257">
      <w:pPr>
        <w:pStyle w:val="FootnoteText"/>
        <w:rPr>
          <w:sz w:val="24"/>
          <w:szCs w:val="24"/>
          <w:lang w:val="en-US"/>
        </w:rPr>
      </w:pPr>
      <w:proofErr w:type="spellStart"/>
      <w:r w:rsidRPr="007D0993">
        <w:rPr>
          <w:rFonts w:cs="Arial"/>
          <w:sz w:val="24"/>
          <w:szCs w:val="24"/>
          <w:shd w:val="clear" w:color="auto" w:fill="FFFFFF"/>
        </w:rPr>
        <w:t>McSherry</w:t>
      </w:r>
      <w:proofErr w:type="spellEnd"/>
      <w:r w:rsidRPr="007D0993">
        <w:rPr>
          <w:rFonts w:cs="Arial"/>
          <w:sz w:val="24"/>
          <w:szCs w:val="24"/>
          <w:shd w:val="clear" w:color="auto" w:fill="FFFFFF"/>
        </w:rPr>
        <w:t>, B.  ‘Legal Capacity Under the Convention on the Rights of Persons with Disabilities’ (2012) 22</w:t>
      </w:r>
      <w:r w:rsidRPr="007D0993">
        <w:rPr>
          <w:rStyle w:val="apple-converted-space"/>
          <w:rFonts w:cs="Arial"/>
          <w:sz w:val="24"/>
          <w:szCs w:val="24"/>
          <w:shd w:val="clear" w:color="auto" w:fill="FFFFFF"/>
        </w:rPr>
        <w:t> </w:t>
      </w:r>
      <w:r w:rsidRPr="007D0993">
        <w:rPr>
          <w:rFonts w:cs="Arial"/>
          <w:i/>
          <w:iCs/>
          <w:sz w:val="24"/>
          <w:szCs w:val="24"/>
          <w:shd w:val="clear" w:color="auto" w:fill="FFFFFF"/>
        </w:rPr>
        <w:t>Legal Issues</w:t>
      </w:r>
      <w:r w:rsidRPr="007D0993">
        <w:rPr>
          <w:rStyle w:val="apple-converted-space"/>
          <w:rFonts w:cs="Arial"/>
          <w:sz w:val="24"/>
          <w:szCs w:val="24"/>
          <w:shd w:val="clear" w:color="auto" w:fill="FFFFFF"/>
        </w:rPr>
        <w:t> </w:t>
      </w:r>
      <w:r w:rsidRPr="007D0993">
        <w:rPr>
          <w:rFonts w:cs="Arial"/>
          <w:sz w:val="24"/>
          <w:szCs w:val="24"/>
          <w:shd w:val="clear" w:color="auto" w:fill="FFFFFF"/>
        </w:rPr>
        <w:t>23</w:t>
      </w:r>
    </w:p>
    <w:p w:rsidR="00F26257" w:rsidRPr="007D0993" w:rsidRDefault="00F26257" w:rsidP="00F26257">
      <w:pPr>
        <w:pStyle w:val="FootnoteText"/>
        <w:rPr>
          <w:i/>
          <w:sz w:val="24"/>
          <w:szCs w:val="24"/>
          <w:lang w:val="en-US"/>
        </w:rPr>
      </w:pPr>
    </w:p>
    <w:p w:rsidR="00F26257" w:rsidRPr="007D0993" w:rsidRDefault="00F26257" w:rsidP="00F26257">
      <w:pPr>
        <w:pStyle w:val="FootnoteText"/>
        <w:rPr>
          <w:sz w:val="24"/>
          <w:szCs w:val="24"/>
          <w:lang w:val="en-US"/>
        </w:rPr>
      </w:pPr>
      <w:r w:rsidRPr="007D0993">
        <w:rPr>
          <w:sz w:val="24"/>
          <w:szCs w:val="24"/>
          <w:lang w:val="en-US"/>
        </w:rPr>
        <w:t xml:space="preserve">Mental Disability Advocacy Centre (no date) </w:t>
      </w:r>
      <w:r w:rsidRPr="007D0993">
        <w:rPr>
          <w:i/>
          <w:sz w:val="24"/>
          <w:szCs w:val="24"/>
          <w:lang w:val="en-US"/>
        </w:rPr>
        <w:t>Supported Decision-Making: An Alternative to Guardianship</w:t>
      </w:r>
      <w:r w:rsidRPr="007D0993">
        <w:rPr>
          <w:sz w:val="24"/>
          <w:szCs w:val="24"/>
          <w:lang w:val="en-US"/>
        </w:rPr>
        <w:t xml:space="preserve"> </w:t>
      </w:r>
      <w:hyperlink r:id="rId16" w:history="1">
        <w:r w:rsidRPr="007D0993">
          <w:rPr>
            <w:rStyle w:val="Hyperlink"/>
            <w:sz w:val="24"/>
            <w:szCs w:val="24"/>
            <w:lang w:val="en-US"/>
          </w:rPr>
          <w:t>http://mdac.info/sites/mdac.info/files/English_Supported_Decision-making_An_Alternative_to_Guardianship.pdf</w:t>
        </w:r>
      </w:hyperlink>
      <w:r w:rsidRPr="007D0993">
        <w:rPr>
          <w:sz w:val="24"/>
          <w:szCs w:val="24"/>
          <w:lang w:val="en-US"/>
        </w:rPr>
        <w:t xml:space="preserve">.  </w:t>
      </w:r>
    </w:p>
    <w:p w:rsidR="00F26257" w:rsidRPr="007D0993" w:rsidRDefault="00F26257" w:rsidP="00F26257">
      <w:pPr>
        <w:pStyle w:val="FootnoteText"/>
        <w:rPr>
          <w:i/>
          <w:sz w:val="24"/>
          <w:szCs w:val="24"/>
          <w:lang w:val="en-US"/>
        </w:rPr>
      </w:pPr>
    </w:p>
    <w:p w:rsidR="00F26257" w:rsidRPr="007D0993" w:rsidRDefault="00F26257" w:rsidP="00F26257">
      <w:pPr>
        <w:pStyle w:val="FootnoteText"/>
        <w:rPr>
          <w:sz w:val="24"/>
          <w:szCs w:val="24"/>
          <w:lang w:val="en-US"/>
        </w:rPr>
      </w:pPr>
      <w:r w:rsidRPr="007D0993">
        <w:rPr>
          <w:i/>
          <w:sz w:val="24"/>
          <w:szCs w:val="24"/>
          <w:lang w:val="en-US"/>
        </w:rPr>
        <w:t>National Disability Insurance Scheme Act 2013</w:t>
      </w:r>
      <w:r w:rsidRPr="007D0993">
        <w:rPr>
          <w:sz w:val="24"/>
          <w:szCs w:val="24"/>
          <w:lang w:val="en-US"/>
        </w:rPr>
        <w:t xml:space="preserve"> (</w:t>
      </w:r>
      <w:proofErr w:type="spellStart"/>
      <w:r w:rsidRPr="007D0993">
        <w:rPr>
          <w:sz w:val="24"/>
          <w:szCs w:val="24"/>
          <w:lang w:val="en-US"/>
        </w:rPr>
        <w:t>Cth</w:t>
      </w:r>
      <w:proofErr w:type="spellEnd"/>
      <w:r w:rsidRPr="007D0993">
        <w:rPr>
          <w:sz w:val="24"/>
          <w:szCs w:val="24"/>
          <w:lang w:val="en-US"/>
        </w:rPr>
        <w:t xml:space="preserve">) </w:t>
      </w:r>
    </w:p>
    <w:p w:rsidR="00F26257" w:rsidRPr="007D0993" w:rsidRDefault="00F26257" w:rsidP="00F26257">
      <w:pPr>
        <w:pStyle w:val="FootnoteText"/>
        <w:rPr>
          <w:sz w:val="24"/>
          <w:szCs w:val="24"/>
          <w:lang w:val="en-US"/>
        </w:rPr>
      </w:pPr>
    </w:p>
    <w:p w:rsidR="00F26257" w:rsidRPr="007D0993" w:rsidRDefault="00F26257" w:rsidP="00F26257">
      <w:pPr>
        <w:pStyle w:val="FootnoteText"/>
        <w:rPr>
          <w:sz w:val="24"/>
          <w:szCs w:val="24"/>
          <w:lang w:val="en-US"/>
        </w:rPr>
      </w:pPr>
      <w:r w:rsidRPr="007D0993">
        <w:rPr>
          <w:sz w:val="24"/>
          <w:szCs w:val="24"/>
          <w:lang w:val="en-US"/>
        </w:rPr>
        <w:t xml:space="preserve">National Disability Insurance Agency (2015) </w:t>
      </w:r>
      <w:r w:rsidRPr="007D0993">
        <w:rPr>
          <w:i/>
          <w:sz w:val="24"/>
          <w:szCs w:val="24"/>
          <w:lang w:val="en-US"/>
        </w:rPr>
        <w:t>Independent Review of the NDIS Act</w:t>
      </w:r>
      <w:r w:rsidRPr="007D0993">
        <w:rPr>
          <w:sz w:val="24"/>
          <w:szCs w:val="24"/>
          <w:lang w:val="en-US"/>
        </w:rPr>
        <w:t xml:space="preserve"> </w:t>
      </w:r>
      <w:hyperlink r:id="rId17" w:history="1">
        <w:r w:rsidRPr="007D0993">
          <w:rPr>
            <w:rStyle w:val="Hyperlink"/>
            <w:sz w:val="24"/>
            <w:szCs w:val="24"/>
            <w:lang w:val="en-US"/>
          </w:rPr>
          <w:t>http://www.ndis.gov.au/about-us/governance/legislation/ndis-act-review</w:t>
        </w:r>
      </w:hyperlink>
    </w:p>
    <w:p w:rsidR="007D0993" w:rsidRPr="007D0993" w:rsidRDefault="007D0993" w:rsidP="00F26257">
      <w:pPr>
        <w:pStyle w:val="FootnoteText"/>
        <w:rPr>
          <w:sz w:val="24"/>
          <w:szCs w:val="24"/>
          <w:lang w:val="en-US"/>
        </w:rPr>
      </w:pPr>
    </w:p>
    <w:p w:rsidR="007D0993" w:rsidRPr="007D0993" w:rsidRDefault="007D0993" w:rsidP="007D0993">
      <w:pPr>
        <w:pStyle w:val="FootnoteText"/>
        <w:rPr>
          <w:sz w:val="24"/>
          <w:szCs w:val="24"/>
          <w:lang w:val="en-US"/>
        </w:rPr>
      </w:pPr>
      <w:r w:rsidRPr="007D0993">
        <w:rPr>
          <w:sz w:val="24"/>
          <w:szCs w:val="24"/>
        </w:rPr>
        <w:t xml:space="preserve">NSW Council for Intellectual Disability (2015) </w:t>
      </w:r>
      <w:r w:rsidRPr="007D0993">
        <w:rPr>
          <w:i/>
          <w:sz w:val="24"/>
          <w:szCs w:val="24"/>
        </w:rPr>
        <w:t>Supported decision making YES! But what role for substitute decision-making?</w:t>
      </w:r>
      <w:r w:rsidRPr="007D0993">
        <w:rPr>
          <w:sz w:val="24"/>
          <w:szCs w:val="24"/>
        </w:rPr>
        <w:t xml:space="preserve"> </w:t>
      </w:r>
      <w:hyperlink r:id="rId18" w:history="1">
        <w:r w:rsidRPr="007D0993">
          <w:rPr>
            <w:rStyle w:val="Hyperlink"/>
            <w:sz w:val="24"/>
            <w:szCs w:val="24"/>
          </w:rPr>
          <w:t>http://nswcid.blogspot.com.au/2015/06/supported-decision-making-yes-but-what.html</w:t>
        </w:r>
      </w:hyperlink>
    </w:p>
    <w:p w:rsidR="00F26257" w:rsidRPr="007D0993" w:rsidRDefault="00F26257" w:rsidP="00F26257">
      <w:pPr>
        <w:pStyle w:val="FootnoteText"/>
        <w:rPr>
          <w:sz w:val="24"/>
          <w:szCs w:val="24"/>
        </w:rPr>
      </w:pPr>
    </w:p>
    <w:p w:rsidR="00F26257" w:rsidRPr="007D0993" w:rsidRDefault="00F26257" w:rsidP="00F26257">
      <w:pPr>
        <w:pStyle w:val="FootnoteText"/>
        <w:rPr>
          <w:sz w:val="24"/>
          <w:szCs w:val="24"/>
          <w:lang w:val="en-US"/>
        </w:rPr>
      </w:pPr>
      <w:r w:rsidRPr="007D0993">
        <w:rPr>
          <w:sz w:val="24"/>
          <w:szCs w:val="24"/>
          <w:lang w:val="en-US"/>
        </w:rPr>
        <w:t xml:space="preserve">Office of the Public Advocate South Australia (2010) </w:t>
      </w:r>
      <w:r w:rsidRPr="007D0993">
        <w:rPr>
          <w:i/>
          <w:sz w:val="24"/>
          <w:szCs w:val="24"/>
          <w:lang w:val="en-US"/>
        </w:rPr>
        <w:t>Submission to the Productivity Commission Inquiry into Disability Care and Support</w:t>
      </w:r>
      <w:r w:rsidRPr="007D0993">
        <w:rPr>
          <w:sz w:val="24"/>
          <w:szCs w:val="24"/>
          <w:lang w:val="en-US"/>
        </w:rPr>
        <w:t xml:space="preserve"> </w:t>
      </w:r>
      <w:hyperlink r:id="rId19" w:history="1">
        <w:r w:rsidRPr="007D0993">
          <w:rPr>
            <w:rStyle w:val="Hyperlink"/>
            <w:sz w:val="24"/>
            <w:szCs w:val="24"/>
            <w:lang w:val="en-US"/>
          </w:rPr>
          <w:t>http://www.publicadvocate.vic.gov.au/advocacy-research/ndis</w:t>
        </w:r>
      </w:hyperlink>
    </w:p>
    <w:p w:rsidR="00F26257" w:rsidRPr="007D0993" w:rsidRDefault="00F26257" w:rsidP="00F26257">
      <w:pPr>
        <w:pStyle w:val="FootnoteText"/>
        <w:rPr>
          <w:sz w:val="24"/>
          <w:szCs w:val="24"/>
        </w:rPr>
      </w:pPr>
    </w:p>
    <w:p w:rsidR="00F26257" w:rsidRPr="007D0993" w:rsidRDefault="00F26257" w:rsidP="00F26257">
      <w:pPr>
        <w:pStyle w:val="FootnoteText"/>
        <w:rPr>
          <w:sz w:val="24"/>
          <w:szCs w:val="24"/>
          <w:lang w:val="en-US"/>
        </w:rPr>
      </w:pPr>
      <w:r w:rsidRPr="007D0993">
        <w:rPr>
          <w:i/>
          <w:sz w:val="24"/>
          <w:szCs w:val="24"/>
        </w:rPr>
        <w:t>Powers of Attorney Act</w:t>
      </w:r>
      <w:r w:rsidRPr="007D0993">
        <w:rPr>
          <w:sz w:val="24"/>
          <w:szCs w:val="24"/>
        </w:rPr>
        <w:t xml:space="preserve"> </w:t>
      </w:r>
      <w:r w:rsidRPr="007D0993">
        <w:rPr>
          <w:i/>
          <w:sz w:val="24"/>
          <w:szCs w:val="24"/>
        </w:rPr>
        <w:t>2014</w:t>
      </w:r>
      <w:r w:rsidR="007D0993" w:rsidRPr="007D0993">
        <w:rPr>
          <w:sz w:val="24"/>
          <w:szCs w:val="24"/>
        </w:rPr>
        <w:t xml:space="preserve"> (Vic)</w:t>
      </w:r>
    </w:p>
    <w:p w:rsidR="00F26257" w:rsidRPr="007D0993" w:rsidRDefault="00F26257" w:rsidP="00F26257">
      <w:pPr>
        <w:pStyle w:val="FootnoteText"/>
        <w:rPr>
          <w:sz w:val="24"/>
          <w:szCs w:val="24"/>
        </w:rPr>
      </w:pPr>
    </w:p>
    <w:p w:rsidR="007D0993" w:rsidRDefault="00F26257" w:rsidP="00F26257">
      <w:pPr>
        <w:pStyle w:val="FootnoteText"/>
        <w:rPr>
          <w:rStyle w:val="apple-converted-space"/>
          <w:rFonts w:cs="Arial"/>
          <w:color w:val="555555"/>
          <w:sz w:val="24"/>
          <w:szCs w:val="24"/>
          <w:shd w:val="clear" w:color="auto" w:fill="FFFFFF"/>
        </w:rPr>
      </w:pPr>
      <w:r w:rsidRPr="007D0993">
        <w:rPr>
          <w:rFonts w:cs="Arial"/>
          <w:sz w:val="24"/>
          <w:szCs w:val="24"/>
          <w:shd w:val="clear" w:color="auto" w:fill="FFFFFF"/>
        </w:rPr>
        <w:t xml:space="preserve">United Nations Committee on the Rights of Persons with Disabilities (2014) </w:t>
      </w:r>
      <w:r w:rsidRPr="007D0993">
        <w:rPr>
          <w:rFonts w:cs="Arial"/>
          <w:i/>
          <w:iCs/>
          <w:sz w:val="24"/>
          <w:szCs w:val="24"/>
          <w:shd w:val="clear" w:color="auto" w:fill="FFFFFF"/>
        </w:rPr>
        <w:t>General Comment No 1 (2014) on Article 12 of the Convention—Equal Recognition before the Law</w:t>
      </w:r>
      <w:r w:rsidRPr="007D0993">
        <w:rPr>
          <w:rStyle w:val="apple-converted-space"/>
          <w:rFonts w:cs="Arial"/>
          <w:sz w:val="24"/>
          <w:szCs w:val="24"/>
          <w:shd w:val="clear" w:color="auto" w:fill="FFFFFF"/>
        </w:rPr>
        <w:t> </w:t>
      </w:r>
      <w:hyperlink w:history="1">
        <w:r w:rsidR="007D0993" w:rsidRPr="00407A6D">
          <w:rPr>
            <w:rStyle w:val="Hyperlink"/>
            <w:rFonts w:cs="Arial"/>
            <w:sz w:val="24"/>
            <w:szCs w:val="24"/>
            <w:shd w:val="clear" w:color="auto" w:fill="FFFFFF"/>
          </w:rPr>
          <w:t>http://tbinternet. ohchr.org/_layouts/treatybodyexternal/Download.aspx?symbolno =CRPD/C/GC/1&amp;Lang=en</w:t>
        </w:r>
      </w:hyperlink>
    </w:p>
    <w:p w:rsidR="007D0993" w:rsidRPr="007D0993" w:rsidRDefault="007D0993" w:rsidP="00F26257">
      <w:pPr>
        <w:pStyle w:val="FootnoteText"/>
        <w:rPr>
          <w:rStyle w:val="apple-converted-space"/>
          <w:rFonts w:cs="Arial"/>
          <w:color w:val="555555"/>
          <w:sz w:val="24"/>
          <w:szCs w:val="24"/>
          <w:shd w:val="clear" w:color="auto" w:fill="FFFFFF"/>
        </w:rPr>
      </w:pPr>
    </w:p>
    <w:p w:rsidR="00F26257" w:rsidRPr="007D0993" w:rsidRDefault="00F26257" w:rsidP="00F26257">
      <w:pPr>
        <w:pStyle w:val="FootnoteText"/>
        <w:rPr>
          <w:rStyle w:val="Hyperlink"/>
          <w:sz w:val="24"/>
          <w:szCs w:val="24"/>
          <w:lang w:val="en-US"/>
        </w:rPr>
      </w:pPr>
      <w:r w:rsidRPr="007D0993">
        <w:rPr>
          <w:i/>
          <w:sz w:val="24"/>
          <w:szCs w:val="24"/>
          <w:lang w:val="en-US"/>
        </w:rPr>
        <w:t>United Nations Convention on the Rights of Persons with Disabilities</w:t>
      </w:r>
      <w:r w:rsidRPr="007D0993">
        <w:rPr>
          <w:sz w:val="24"/>
          <w:szCs w:val="24"/>
          <w:lang w:val="en-US"/>
        </w:rPr>
        <w:t xml:space="preserve"> (2008) </w:t>
      </w:r>
      <w:hyperlink r:id="rId20" w:history="1">
        <w:r w:rsidRPr="007D0993">
          <w:rPr>
            <w:rStyle w:val="Hyperlink"/>
            <w:sz w:val="24"/>
            <w:szCs w:val="24"/>
            <w:lang w:val="en-US"/>
          </w:rPr>
          <w:t>http://www.refworld.org/docid/45f973632.html</w:t>
        </w:r>
      </w:hyperlink>
      <w:r w:rsidRPr="007D0993">
        <w:rPr>
          <w:rStyle w:val="Hyperlink"/>
          <w:sz w:val="24"/>
          <w:szCs w:val="24"/>
          <w:lang w:val="en-US"/>
        </w:rPr>
        <w:t xml:space="preserve"> </w:t>
      </w:r>
    </w:p>
    <w:p w:rsidR="007D0993" w:rsidRPr="007D0993" w:rsidRDefault="007D0993" w:rsidP="00F26257">
      <w:pPr>
        <w:pStyle w:val="FootnoteText"/>
        <w:rPr>
          <w:rStyle w:val="Hyperlink"/>
          <w:sz w:val="24"/>
          <w:szCs w:val="24"/>
          <w:lang w:val="en-US"/>
        </w:rPr>
      </w:pPr>
    </w:p>
    <w:p w:rsidR="007D0993" w:rsidRPr="007D0993" w:rsidRDefault="007D0993" w:rsidP="00F26257">
      <w:pPr>
        <w:pStyle w:val="FootnoteText"/>
        <w:rPr>
          <w:sz w:val="24"/>
          <w:szCs w:val="24"/>
          <w:lang w:val="en-US"/>
        </w:rPr>
      </w:pPr>
      <w:r w:rsidRPr="007D0993">
        <w:rPr>
          <w:sz w:val="24"/>
          <w:szCs w:val="24"/>
        </w:rPr>
        <w:t xml:space="preserve">Victorian Law Reform Commission (2012) </w:t>
      </w:r>
      <w:r w:rsidRPr="007D0993">
        <w:rPr>
          <w:i/>
          <w:sz w:val="24"/>
          <w:szCs w:val="24"/>
        </w:rPr>
        <w:t>Guardianship Final Report</w:t>
      </w:r>
      <w:r w:rsidRPr="007D0993">
        <w:rPr>
          <w:sz w:val="24"/>
          <w:szCs w:val="24"/>
        </w:rPr>
        <w:t xml:space="preserve"> </w:t>
      </w:r>
      <w:hyperlink r:id="rId21" w:history="1">
        <w:r w:rsidRPr="00407A6D">
          <w:rPr>
            <w:rStyle w:val="Hyperlink"/>
            <w:sz w:val="24"/>
            <w:szCs w:val="24"/>
          </w:rPr>
          <w:t>http://www.lawreform.vic.gov.au/sites/default/files/Guardianship_FinalReport_Full%20text.pdf</w:t>
        </w:r>
      </w:hyperlink>
      <w:r w:rsidRPr="007D0993">
        <w:rPr>
          <w:sz w:val="24"/>
          <w:szCs w:val="24"/>
        </w:rPr>
        <w:t xml:space="preserve">. </w:t>
      </w:r>
      <w:r w:rsidRPr="007D0993">
        <w:rPr>
          <w:rStyle w:val="apple-converted-space"/>
          <w:rFonts w:cs="Arial"/>
          <w:color w:val="555555"/>
          <w:sz w:val="24"/>
          <w:szCs w:val="24"/>
          <w:shd w:val="clear" w:color="auto" w:fill="FFFFFF"/>
        </w:rPr>
        <w:t xml:space="preserve"> </w:t>
      </w:r>
    </w:p>
    <w:p w:rsidR="00C166CF" w:rsidRPr="007D0993" w:rsidRDefault="007D0993" w:rsidP="00C166CF">
      <w:pPr>
        <w:rPr>
          <w:lang w:eastAsia="en-US"/>
        </w:rPr>
      </w:pPr>
      <w:r w:rsidRPr="007D0993">
        <w:t xml:space="preserve">Wallace, M. (2012) </w:t>
      </w:r>
      <w:r w:rsidRPr="007D0993">
        <w:rPr>
          <w:i/>
        </w:rPr>
        <w:t>Evaluation of the Supported Decision Making Project</w:t>
      </w:r>
      <w:r w:rsidRPr="007D0993">
        <w:t xml:space="preserve"> </w:t>
      </w:r>
      <w:hyperlink w:history="1">
        <w:r w:rsidRPr="007D0993">
          <w:rPr>
            <w:rStyle w:val="Hyperlink"/>
          </w:rPr>
          <w:t>http://www.opa.sa. gov.au/resources/</w:t>
        </w:r>
        <w:proofErr w:type="spellStart"/>
        <w:r w:rsidRPr="007D0993">
          <w:rPr>
            <w:rStyle w:val="Hyperlink"/>
          </w:rPr>
          <w:t>supported_decision_making</w:t>
        </w:r>
        <w:proofErr w:type="spellEnd"/>
      </w:hyperlink>
      <w:r w:rsidRPr="007D0993">
        <w:t>.</w:t>
      </w:r>
    </w:p>
    <w:p w:rsidR="00076741" w:rsidRDefault="00076741" w:rsidP="00C166CF">
      <w:pPr>
        <w:rPr>
          <w:lang w:eastAsia="en-US"/>
        </w:rPr>
      </w:pPr>
    </w:p>
    <w:sectPr w:rsidR="00076741" w:rsidSect="00A61D69">
      <w:headerReference w:type="default" r:id="rId22"/>
      <w:footerReference w:type="default" r:id="rId23"/>
      <w:headerReference w:type="first" r:id="rId24"/>
      <w:endnotePr>
        <w:numFmt w:val="decimal"/>
      </w:endnotePr>
      <w:pgSz w:w="11906" w:h="16838" w:code="9"/>
      <w:pgMar w:top="1134" w:right="99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01C" w:rsidRDefault="0057201C" w:rsidP="00F14C6D">
      <w:r>
        <w:separator/>
      </w:r>
    </w:p>
  </w:endnote>
  <w:endnote w:type="continuationSeparator" w:id="0">
    <w:p w:rsidR="0057201C" w:rsidRDefault="0057201C"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eiryo">
    <w:altName w:val="メイリオ"/>
    <w:panose1 w:val="020B0604030504040204"/>
    <w:charset w:val="80"/>
    <w:family w:val="swiss"/>
    <w:pitch w:val="variable"/>
    <w:sig w:usb0="E10102FF" w:usb1="EAC7FFFF" w:usb2="0001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Italic">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01C" w:rsidRPr="001E5BCD" w:rsidRDefault="0057201C" w:rsidP="001E5BCD">
    <w:pPr>
      <w:pStyle w:val="Footer"/>
      <w:pBdr>
        <w:top w:val="single" w:sz="4" w:space="1" w:color="auto"/>
        <w:left w:val="single" w:sz="4" w:space="0" w:color="auto"/>
        <w:bottom w:val="single" w:sz="4" w:space="0" w:color="auto"/>
        <w:right w:val="single" w:sz="4" w:space="4" w:color="auto"/>
      </w:pBdr>
      <w:shd w:val="clear" w:color="auto" w:fill="003366"/>
      <w:tabs>
        <w:tab w:val="left" w:pos="7944"/>
        <w:tab w:val="right" w:pos="9600"/>
      </w:tabs>
      <w:ind w:right="-142"/>
      <w:jc w:val="left"/>
      <w:rPr>
        <w:b/>
        <w:color w:val="FFFFFF"/>
        <w:sz w:val="20"/>
        <w:szCs w:val="20"/>
      </w:rPr>
    </w:pPr>
    <w:r>
      <w:rPr>
        <w:b/>
        <w:color w:val="FFFFFF"/>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01C" w:rsidRDefault="0057201C" w:rsidP="001C3532">
    <w:pPr>
      <w:pStyle w:val="Footer"/>
      <w:spacing w:before="0"/>
      <w:jc w:val="left"/>
    </w:pPr>
  </w:p>
  <w:p w:rsidR="0057201C" w:rsidRDefault="0057201C" w:rsidP="00E02276">
    <w:pPr>
      <w:pStyle w:val="Footer"/>
      <w:spacing w:before="0"/>
    </w:pPr>
    <w:r>
      <w:fldChar w:fldCharType="begin"/>
    </w:r>
    <w:r>
      <w:instrText xml:space="preserve"> PAGE   \* MERGEFORMAT </w:instrText>
    </w:r>
    <w:r>
      <w:fldChar w:fldCharType="separate"/>
    </w:r>
    <w:r w:rsidR="00A775AB">
      <w:rPr>
        <w:noProof/>
      </w:rPr>
      <w:t>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01C" w:rsidRDefault="0057201C" w:rsidP="00F14C6D">
      <w:r>
        <w:separator/>
      </w:r>
    </w:p>
  </w:footnote>
  <w:footnote w:type="continuationSeparator" w:id="0">
    <w:p w:rsidR="0057201C" w:rsidRDefault="0057201C" w:rsidP="00F14C6D">
      <w:r>
        <w:continuationSeparator/>
      </w:r>
    </w:p>
  </w:footnote>
  <w:footnote w:id="1">
    <w:p w:rsidR="0057201C" w:rsidRPr="00DF586A" w:rsidRDefault="0057201C" w:rsidP="00EA2674">
      <w:pPr>
        <w:pStyle w:val="FootnoteText"/>
        <w:rPr>
          <w:sz w:val="22"/>
          <w:szCs w:val="22"/>
        </w:rPr>
      </w:pPr>
      <w:r w:rsidRPr="00DF586A">
        <w:rPr>
          <w:rStyle w:val="FootnoteReference"/>
          <w:sz w:val="22"/>
          <w:szCs w:val="22"/>
        </w:rPr>
        <w:footnoteRef/>
      </w:r>
      <w:r w:rsidRPr="00DF586A">
        <w:rPr>
          <w:sz w:val="22"/>
          <w:szCs w:val="22"/>
        </w:rPr>
        <w:t xml:space="preserve"> Disability Council NSW (2014) </w:t>
      </w:r>
      <w:r w:rsidRPr="00DF586A">
        <w:rPr>
          <w:i/>
          <w:sz w:val="22"/>
          <w:szCs w:val="22"/>
        </w:rPr>
        <w:t>Nothing About Us Without Us – Community Feedback Report on the NDS NSW Implementation Plan (2012-2014)</w:t>
      </w:r>
      <w:r w:rsidRPr="00DF586A">
        <w:rPr>
          <w:sz w:val="22"/>
          <w:szCs w:val="22"/>
        </w:rPr>
        <w:t xml:space="preserve"> </w:t>
      </w:r>
      <w:hyperlink r:id="rId1" w:history="1">
        <w:r w:rsidRPr="00DF586A">
          <w:rPr>
            <w:rStyle w:val="Hyperlink"/>
            <w:sz w:val="22"/>
            <w:szCs w:val="22"/>
          </w:rPr>
          <w:t>http://www.disabilitycouncil.nsw.gov.au/__data/ assets/pdf_file/0016/311290/210814-Feedback-Report-on-NDS-Implementation-Plan.pdf</w:t>
        </w:r>
      </w:hyperlink>
      <w:r w:rsidR="0067142B">
        <w:rPr>
          <w:sz w:val="22"/>
          <w:szCs w:val="22"/>
        </w:rPr>
        <w:t>.</w:t>
      </w:r>
      <w:r w:rsidRPr="00DF586A">
        <w:rPr>
          <w:sz w:val="22"/>
          <w:szCs w:val="22"/>
        </w:rPr>
        <w:t xml:space="preserve"> </w:t>
      </w:r>
    </w:p>
    <w:p w:rsidR="0057201C" w:rsidRPr="00DF586A" w:rsidRDefault="0057201C" w:rsidP="00EA2674">
      <w:pPr>
        <w:pStyle w:val="FootnoteText"/>
        <w:rPr>
          <w:sz w:val="22"/>
          <w:szCs w:val="22"/>
          <w:lang w:val="en-US"/>
        </w:rPr>
      </w:pPr>
      <w:r w:rsidRPr="00DF586A">
        <w:rPr>
          <w:sz w:val="22"/>
          <w:szCs w:val="22"/>
        </w:rPr>
        <w:t xml:space="preserve"> </w:t>
      </w:r>
    </w:p>
  </w:footnote>
  <w:footnote w:id="2">
    <w:p w:rsidR="0057201C" w:rsidRPr="00DF586A" w:rsidRDefault="0057201C">
      <w:pPr>
        <w:pStyle w:val="FootnoteText"/>
        <w:rPr>
          <w:sz w:val="22"/>
          <w:szCs w:val="22"/>
          <w:lang w:val="en-US"/>
        </w:rPr>
      </w:pPr>
      <w:r w:rsidRPr="00DF586A">
        <w:rPr>
          <w:rStyle w:val="FootnoteReference"/>
          <w:sz w:val="22"/>
          <w:szCs w:val="22"/>
        </w:rPr>
        <w:footnoteRef/>
      </w:r>
      <w:r w:rsidRPr="00DF586A">
        <w:rPr>
          <w:sz w:val="22"/>
          <w:szCs w:val="22"/>
        </w:rPr>
        <w:t xml:space="preserve"> Article 12, </w:t>
      </w:r>
      <w:r w:rsidRPr="00DF586A">
        <w:rPr>
          <w:i/>
          <w:sz w:val="22"/>
          <w:szCs w:val="22"/>
          <w:lang w:val="en-US"/>
        </w:rPr>
        <w:t>United Nations Convention on the Rights of Persons with Disabilities</w:t>
      </w:r>
      <w:r w:rsidRPr="00DF586A">
        <w:rPr>
          <w:sz w:val="22"/>
          <w:szCs w:val="22"/>
          <w:lang w:val="en-US"/>
        </w:rPr>
        <w:t xml:space="preserve"> (2008) </w:t>
      </w:r>
      <w:hyperlink r:id="rId2" w:history="1">
        <w:r w:rsidRPr="00DF586A">
          <w:rPr>
            <w:rStyle w:val="Hyperlink"/>
            <w:sz w:val="22"/>
            <w:szCs w:val="22"/>
            <w:lang w:val="en-US"/>
          </w:rPr>
          <w:t>http://www.refworld.org/docid/45f973632.html</w:t>
        </w:r>
      </w:hyperlink>
      <w:r w:rsidRPr="00DF586A">
        <w:rPr>
          <w:rStyle w:val="Hyperlink"/>
          <w:sz w:val="22"/>
          <w:szCs w:val="22"/>
          <w:lang w:val="en-US"/>
        </w:rPr>
        <w:t xml:space="preserve"> </w:t>
      </w:r>
      <w:r w:rsidRPr="00DF586A">
        <w:rPr>
          <w:i/>
          <w:sz w:val="22"/>
          <w:szCs w:val="22"/>
        </w:rPr>
        <w:t>(UNCRPD).</w:t>
      </w:r>
    </w:p>
  </w:footnote>
  <w:footnote w:id="3">
    <w:p w:rsidR="0057201C" w:rsidRPr="00DF586A" w:rsidRDefault="0057201C">
      <w:pPr>
        <w:pStyle w:val="FootnoteText"/>
        <w:rPr>
          <w:sz w:val="22"/>
          <w:szCs w:val="22"/>
          <w:lang w:val="en-US"/>
        </w:rPr>
      </w:pPr>
      <w:r w:rsidRPr="00DF586A">
        <w:rPr>
          <w:rStyle w:val="FootnoteReference"/>
          <w:sz w:val="22"/>
          <w:szCs w:val="22"/>
        </w:rPr>
        <w:footnoteRef/>
      </w:r>
      <w:r w:rsidRPr="00DF586A">
        <w:rPr>
          <w:sz w:val="22"/>
          <w:szCs w:val="22"/>
        </w:rPr>
        <w:t xml:space="preserve"> </w:t>
      </w:r>
      <w:r w:rsidRPr="00DF586A">
        <w:rPr>
          <w:sz w:val="22"/>
          <w:szCs w:val="22"/>
          <w:lang w:val="en-US"/>
        </w:rPr>
        <w:t xml:space="preserve">UNCRPD Article 12(1);  International Covenant on Civil and Political Rights (1966) </w:t>
      </w:r>
      <w:hyperlink r:id="rId3" w:history="1">
        <w:r w:rsidRPr="00DF586A">
          <w:rPr>
            <w:rStyle w:val="Hyperlink"/>
            <w:sz w:val="22"/>
            <w:szCs w:val="22"/>
            <w:lang w:val="en-US"/>
          </w:rPr>
          <w:t>http://www.ohchr.org/en/professionalinterest/pages/ccpr.aspx</w:t>
        </w:r>
      </w:hyperlink>
      <w:r w:rsidRPr="00DF586A">
        <w:rPr>
          <w:sz w:val="22"/>
          <w:szCs w:val="22"/>
          <w:lang w:val="en-US"/>
        </w:rPr>
        <w:t xml:space="preserve">. </w:t>
      </w:r>
    </w:p>
  </w:footnote>
  <w:footnote w:id="4">
    <w:p w:rsidR="0057201C" w:rsidRPr="00DF586A" w:rsidRDefault="0057201C">
      <w:pPr>
        <w:pStyle w:val="FootnoteText"/>
        <w:rPr>
          <w:sz w:val="22"/>
          <w:szCs w:val="22"/>
          <w:lang w:val="en-US"/>
        </w:rPr>
      </w:pPr>
      <w:r w:rsidRPr="00DF586A">
        <w:rPr>
          <w:rStyle w:val="FootnoteReference"/>
          <w:sz w:val="22"/>
          <w:szCs w:val="22"/>
        </w:rPr>
        <w:footnoteRef/>
      </w:r>
      <w:r w:rsidRPr="00DF586A">
        <w:rPr>
          <w:sz w:val="22"/>
          <w:szCs w:val="22"/>
        </w:rPr>
        <w:t xml:space="preserve"> </w:t>
      </w:r>
      <w:r w:rsidRPr="00DF586A">
        <w:rPr>
          <w:i/>
          <w:sz w:val="22"/>
          <w:szCs w:val="22"/>
          <w:lang w:val="en-US"/>
        </w:rPr>
        <w:t>UNCRPD</w:t>
      </w:r>
      <w:r w:rsidRPr="00DF586A">
        <w:rPr>
          <w:sz w:val="22"/>
          <w:szCs w:val="22"/>
          <w:lang w:val="en-US"/>
        </w:rPr>
        <w:t xml:space="preserve"> Article 12 (2).</w:t>
      </w:r>
    </w:p>
  </w:footnote>
  <w:footnote w:id="5">
    <w:p w:rsidR="0057201C" w:rsidRPr="00DF586A" w:rsidRDefault="0057201C">
      <w:pPr>
        <w:pStyle w:val="FootnoteText"/>
        <w:rPr>
          <w:sz w:val="22"/>
          <w:szCs w:val="22"/>
          <w:lang w:val="en-US"/>
        </w:rPr>
      </w:pPr>
      <w:r w:rsidRPr="00DF586A">
        <w:rPr>
          <w:rStyle w:val="FootnoteReference"/>
          <w:sz w:val="22"/>
          <w:szCs w:val="22"/>
        </w:rPr>
        <w:footnoteRef/>
      </w:r>
      <w:r w:rsidRPr="00DF586A">
        <w:rPr>
          <w:sz w:val="22"/>
          <w:szCs w:val="22"/>
        </w:rPr>
        <w:t xml:space="preserve"> </w:t>
      </w:r>
      <w:r w:rsidRPr="00DF586A">
        <w:rPr>
          <w:i/>
          <w:sz w:val="22"/>
          <w:szCs w:val="22"/>
        </w:rPr>
        <w:t xml:space="preserve">UNCRPD </w:t>
      </w:r>
      <w:r w:rsidRPr="00DF586A">
        <w:rPr>
          <w:sz w:val="22"/>
          <w:szCs w:val="22"/>
          <w:lang w:val="en-US"/>
        </w:rPr>
        <w:t>Article 12 (3); Article 5(a).</w:t>
      </w:r>
    </w:p>
  </w:footnote>
  <w:footnote w:id="6">
    <w:p w:rsidR="0057201C" w:rsidRPr="00DF586A" w:rsidRDefault="0057201C">
      <w:pPr>
        <w:pStyle w:val="FootnoteText"/>
        <w:rPr>
          <w:sz w:val="22"/>
          <w:szCs w:val="22"/>
          <w:lang w:val="en-US"/>
        </w:rPr>
      </w:pPr>
      <w:r w:rsidRPr="00DF586A">
        <w:rPr>
          <w:rStyle w:val="FootnoteReference"/>
          <w:sz w:val="22"/>
          <w:szCs w:val="22"/>
        </w:rPr>
        <w:footnoteRef/>
      </w:r>
      <w:r w:rsidRPr="00DF586A">
        <w:rPr>
          <w:sz w:val="22"/>
          <w:szCs w:val="22"/>
        </w:rPr>
        <w:t xml:space="preserve"> </w:t>
      </w:r>
      <w:r w:rsidRPr="00DF586A">
        <w:rPr>
          <w:i/>
          <w:sz w:val="22"/>
          <w:szCs w:val="22"/>
        </w:rPr>
        <w:t xml:space="preserve">UNCRPD </w:t>
      </w:r>
      <w:r w:rsidRPr="00DF586A">
        <w:rPr>
          <w:sz w:val="22"/>
          <w:szCs w:val="22"/>
          <w:lang w:val="en-US"/>
        </w:rPr>
        <w:t>Article 12 (4).</w:t>
      </w:r>
    </w:p>
  </w:footnote>
  <w:footnote w:id="7">
    <w:p w:rsidR="0057201C" w:rsidRPr="00DF586A" w:rsidRDefault="0057201C">
      <w:pPr>
        <w:pStyle w:val="FootnoteText"/>
        <w:rPr>
          <w:sz w:val="22"/>
          <w:szCs w:val="22"/>
          <w:lang w:val="en-US"/>
        </w:rPr>
      </w:pPr>
      <w:r w:rsidRPr="00DF586A">
        <w:rPr>
          <w:rStyle w:val="FootnoteReference"/>
          <w:sz w:val="22"/>
          <w:szCs w:val="22"/>
        </w:rPr>
        <w:footnoteRef/>
      </w:r>
      <w:r w:rsidRPr="00DF586A">
        <w:rPr>
          <w:sz w:val="22"/>
          <w:szCs w:val="22"/>
        </w:rPr>
        <w:t xml:space="preserve"> </w:t>
      </w:r>
      <w:r w:rsidRPr="00DF586A">
        <w:rPr>
          <w:i/>
          <w:sz w:val="22"/>
          <w:szCs w:val="22"/>
        </w:rPr>
        <w:t xml:space="preserve">UNCRPD </w:t>
      </w:r>
      <w:r w:rsidRPr="00DF586A">
        <w:rPr>
          <w:sz w:val="22"/>
          <w:szCs w:val="22"/>
          <w:lang w:val="en-US"/>
        </w:rPr>
        <w:t>Article 12 (5).</w:t>
      </w:r>
    </w:p>
  </w:footnote>
  <w:footnote w:id="8">
    <w:p w:rsidR="0057201C" w:rsidRPr="00DF586A" w:rsidRDefault="0057201C">
      <w:pPr>
        <w:pStyle w:val="FootnoteText"/>
        <w:rPr>
          <w:sz w:val="22"/>
          <w:szCs w:val="22"/>
          <w:lang w:val="en-US"/>
        </w:rPr>
      </w:pPr>
      <w:r w:rsidRPr="00DF586A">
        <w:rPr>
          <w:rStyle w:val="FootnoteReference"/>
          <w:sz w:val="22"/>
          <w:szCs w:val="22"/>
        </w:rPr>
        <w:footnoteRef/>
      </w:r>
      <w:r w:rsidRPr="00DF586A">
        <w:rPr>
          <w:sz w:val="22"/>
          <w:szCs w:val="22"/>
        </w:rPr>
        <w:t xml:space="preserve"> Reasonable Accommodation is defined as “necessary and appropriate modification and adjustments not imposing a disproportionate or undue burden, where needed in a particular case, to ensure to persons with disabilities the enjoyment or exercise on an equal basis with others of all human rights and fundamental freedoms” </w:t>
      </w:r>
      <w:r w:rsidRPr="00DF586A">
        <w:rPr>
          <w:i/>
          <w:sz w:val="22"/>
          <w:szCs w:val="22"/>
        </w:rPr>
        <w:t xml:space="preserve">UNCRPD </w:t>
      </w:r>
      <w:r w:rsidRPr="00DF586A">
        <w:rPr>
          <w:sz w:val="22"/>
          <w:szCs w:val="22"/>
        </w:rPr>
        <w:t>Article 2.</w:t>
      </w:r>
    </w:p>
  </w:footnote>
  <w:footnote w:id="9">
    <w:p w:rsidR="0057201C" w:rsidRPr="00DF586A" w:rsidRDefault="0057201C">
      <w:pPr>
        <w:pStyle w:val="FootnoteText"/>
        <w:rPr>
          <w:sz w:val="22"/>
          <w:szCs w:val="22"/>
          <w:lang w:val="en-US"/>
        </w:rPr>
      </w:pPr>
      <w:r w:rsidRPr="00DF586A">
        <w:rPr>
          <w:rStyle w:val="FootnoteReference"/>
          <w:sz w:val="22"/>
          <w:szCs w:val="22"/>
        </w:rPr>
        <w:footnoteRef/>
      </w:r>
      <w:r w:rsidRPr="00DF586A">
        <w:rPr>
          <w:sz w:val="22"/>
          <w:szCs w:val="22"/>
        </w:rPr>
        <w:t xml:space="preserve"> </w:t>
      </w:r>
      <w:r w:rsidRPr="00DF586A">
        <w:rPr>
          <w:i/>
          <w:sz w:val="22"/>
          <w:szCs w:val="22"/>
        </w:rPr>
        <w:t xml:space="preserve">UNCRPD </w:t>
      </w:r>
      <w:r w:rsidRPr="00DF586A">
        <w:rPr>
          <w:sz w:val="22"/>
          <w:szCs w:val="22"/>
          <w:lang w:val="en-US"/>
        </w:rPr>
        <w:t xml:space="preserve">Article 5. </w:t>
      </w:r>
    </w:p>
  </w:footnote>
  <w:footnote w:id="10">
    <w:p w:rsidR="0057201C" w:rsidRPr="00DF586A" w:rsidRDefault="0057201C">
      <w:pPr>
        <w:pStyle w:val="FootnoteText"/>
        <w:rPr>
          <w:sz w:val="22"/>
          <w:szCs w:val="22"/>
          <w:lang w:val="en-US"/>
        </w:rPr>
      </w:pPr>
      <w:r w:rsidRPr="00DF586A">
        <w:rPr>
          <w:rStyle w:val="FootnoteReference"/>
          <w:sz w:val="22"/>
          <w:szCs w:val="22"/>
        </w:rPr>
        <w:footnoteRef/>
      </w:r>
      <w:r w:rsidRPr="00DF586A">
        <w:rPr>
          <w:sz w:val="22"/>
          <w:szCs w:val="22"/>
        </w:rPr>
        <w:t xml:space="preserve"> Australian Law Reform Commission (2014) </w:t>
      </w:r>
      <w:r w:rsidRPr="00DF586A">
        <w:rPr>
          <w:i/>
          <w:sz w:val="22"/>
          <w:szCs w:val="22"/>
        </w:rPr>
        <w:t>Equality, Capacity and Disability in Commonwealth Laws</w:t>
      </w:r>
      <w:r w:rsidRPr="00DF586A">
        <w:rPr>
          <w:sz w:val="22"/>
          <w:szCs w:val="22"/>
        </w:rPr>
        <w:t xml:space="preserve"> </w:t>
      </w:r>
      <w:hyperlink r:id="rId4" w:history="1">
        <w:r w:rsidRPr="00DF586A">
          <w:rPr>
            <w:rStyle w:val="Hyperlink"/>
            <w:sz w:val="22"/>
            <w:szCs w:val="22"/>
          </w:rPr>
          <w:t>https://www.alrc.gov.au/publications/equality-capacity-disability-report-124</w:t>
        </w:r>
      </w:hyperlink>
      <w:r w:rsidRPr="00DF586A">
        <w:rPr>
          <w:sz w:val="22"/>
          <w:szCs w:val="22"/>
        </w:rPr>
        <w:t xml:space="preserve"> </w:t>
      </w:r>
    </w:p>
  </w:footnote>
  <w:footnote w:id="11">
    <w:p w:rsidR="0057201C" w:rsidRPr="00DF586A" w:rsidRDefault="0057201C">
      <w:pPr>
        <w:pStyle w:val="FootnoteText"/>
        <w:rPr>
          <w:sz w:val="22"/>
          <w:szCs w:val="22"/>
          <w:lang w:val="en-US"/>
        </w:rPr>
      </w:pPr>
      <w:r w:rsidRPr="00DF586A">
        <w:rPr>
          <w:rStyle w:val="FootnoteReference"/>
          <w:sz w:val="22"/>
          <w:szCs w:val="22"/>
        </w:rPr>
        <w:footnoteRef/>
      </w:r>
      <w:r w:rsidRPr="00DF586A">
        <w:rPr>
          <w:sz w:val="22"/>
          <w:szCs w:val="22"/>
        </w:rPr>
        <w:t xml:space="preserve"> </w:t>
      </w:r>
      <w:r w:rsidRPr="00DF586A">
        <w:rPr>
          <w:i/>
          <w:sz w:val="22"/>
          <w:szCs w:val="22"/>
        </w:rPr>
        <w:t>Guardianship and Administration Act</w:t>
      </w:r>
      <w:r w:rsidRPr="00DF586A">
        <w:rPr>
          <w:sz w:val="22"/>
          <w:szCs w:val="22"/>
        </w:rPr>
        <w:t xml:space="preserve"> </w:t>
      </w:r>
      <w:r w:rsidRPr="00DF586A">
        <w:rPr>
          <w:i/>
          <w:sz w:val="22"/>
          <w:szCs w:val="22"/>
        </w:rPr>
        <w:t>2000</w:t>
      </w:r>
      <w:r w:rsidRPr="00DF586A">
        <w:rPr>
          <w:sz w:val="22"/>
          <w:szCs w:val="22"/>
        </w:rPr>
        <w:t xml:space="preserve"> (Qld)</w:t>
      </w:r>
    </w:p>
  </w:footnote>
  <w:footnote w:id="12">
    <w:p w:rsidR="0057201C" w:rsidRPr="00DF586A" w:rsidRDefault="0057201C">
      <w:pPr>
        <w:pStyle w:val="FootnoteText"/>
        <w:rPr>
          <w:sz w:val="22"/>
          <w:szCs w:val="22"/>
          <w:lang w:val="en-US"/>
        </w:rPr>
      </w:pPr>
      <w:r w:rsidRPr="00DF586A">
        <w:rPr>
          <w:rStyle w:val="FootnoteReference"/>
          <w:sz w:val="22"/>
          <w:szCs w:val="22"/>
        </w:rPr>
        <w:footnoteRef/>
      </w:r>
      <w:r w:rsidRPr="00DF586A">
        <w:rPr>
          <w:sz w:val="22"/>
          <w:szCs w:val="22"/>
        </w:rPr>
        <w:t xml:space="preserve"> Victorian Law Reform Commission (2012) </w:t>
      </w:r>
      <w:r w:rsidRPr="00DF586A">
        <w:rPr>
          <w:i/>
          <w:sz w:val="22"/>
          <w:szCs w:val="22"/>
        </w:rPr>
        <w:t>Guardianship Final Report</w:t>
      </w:r>
      <w:r w:rsidRPr="00DF586A">
        <w:rPr>
          <w:sz w:val="22"/>
          <w:szCs w:val="22"/>
        </w:rPr>
        <w:t xml:space="preserve"> </w:t>
      </w:r>
      <w:hyperlink r:id="rId5" w:history="1">
        <w:r w:rsidRPr="00DF586A">
          <w:rPr>
            <w:rStyle w:val="Hyperlink"/>
            <w:sz w:val="22"/>
            <w:szCs w:val="22"/>
          </w:rPr>
          <w:t>http://www.lawreform.vic.gov.au/sites/ default/files/Guardianship_FinalReport_Full%20text.pdf</w:t>
        </w:r>
      </w:hyperlink>
      <w:r w:rsidRPr="00DF586A">
        <w:rPr>
          <w:sz w:val="22"/>
          <w:szCs w:val="22"/>
        </w:rPr>
        <w:t xml:space="preserve">. </w:t>
      </w:r>
    </w:p>
  </w:footnote>
  <w:footnote w:id="13">
    <w:p w:rsidR="0057201C" w:rsidRPr="00DF586A" w:rsidRDefault="0057201C">
      <w:pPr>
        <w:pStyle w:val="FootnoteText"/>
        <w:rPr>
          <w:sz w:val="22"/>
          <w:szCs w:val="22"/>
          <w:lang w:val="en-US"/>
        </w:rPr>
      </w:pPr>
      <w:r w:rsidRPr="00DF586A">
        <w:rPr>
          <w:rStyle w:val="FootnoteReference"/>
          <w:sz w:val="22"/>
          <w:szCs w:val="22"/>
        </w:rPr>
        <w:footnoteRef/>
      </w:r>
      <w:r w:rsidRPr="00DF586A">
        <w:rPr>
          <w:sz w:val="22"/>
          <w:szCs w:val="22"/>
        </w:rPr>
        <w:t xml:space="preserve"> Ibid.</w:t>
      </w:r>
    </w:p>
  </w:footnote>
  <w:footnote w:id="14">
    <w:p w:rsidR="0057201C" w:rsidRPr="00DF586A" w:rsidRDefault="0057201C">
      <w:pPr>
        <w:pStyle w:val="FootnoteText"/>
        <w:rPr>
          <w:sz w:val="22"/>
          <w:szCs w:val="22"/>
          <w:lang w:val="en-US"/>
        </w:rPr>
      </w:pPr>
      <w:r w:rsidRPr="00DF586A">
        <w:rPr>
          <w:rStyle w:val="FootnoteReference"/>
          <w:sz w:val="22"/>
          <w:szCs w:val="22"/>
        </w:rPr>
        <w:footnoteRef/>
      </w:r>
      <w:r w:rsidRPr="00DF586A">
        <w:rPr>
          <w:sz w:val="22"/>
          <w:szCs w:val="22"/>
        </w:rPr>
        <w:t xml:space="preserve"> Australian Law Reform Commission (2014) </w:t>
      </w:r>
      <w:r w:rsidRPr="00DF586A">
        <w:rPr>
          <w:i/>
          <w:sz w:val="22"/>
          <w:szCs w:val="22"/>
        </w:rPr>
        <w:t>Equality, Capacity and Disability in Commonwealth Laws</w:t>
      </w:r>
      <w:r w:rsidRPr="00DF586A">
        <w:rPr>
          <w:sz w:val="22"/>
          <w:szCs w:val="22"/>
        </w:rPr>
        <w:t xml:space="preserve"> </w:t>
      </w:r>
      <w:hyperlink r:id="rId6" w:history="1">
        <w:r w:rsidRPr="00DF586A">
          <w:rPr>
            <w:rStyle w:val="Hyperlink"/>
            <w:sz w:val="22"/>
            <w:szCs w:val="22"/>
          </w:rPr>
          <w:t>https://www.alrc.gov.au/publications/equality-capacity-disability-report-124</w:t>
        </w:r>
      </w:hyperlink>
      <w:r w:rsidRPr="00DF586A">
        <w:rPr>
          <w:sz w:val="22"/>
          <w:szCs w:val="22"/>
        </w:rPr>
        <w:t xml:space="preserve">. </w:t>
      </w:r>
    </w:p>
  </w:footnote>
  <w:footnote w:id="15">
    <w:p w:rsidR="0057201C" w:rsidRPr="00DF586A" w:rsidRDefault="0057201C">
      <w:pPr>
        <w:pStyle w:val="FootnoteText"/>
        <w:rPr>
          <w:sz w:val="22"/>
          <w:szCs w:val="22"/>
        </w:rPr>
      </w:pPr>
      <w:r w:rsidRPr="00DF586A">
        <w:rPr>
          <w:rStyle w:val="FootnoteReference"/>
          <w:sz w:val="22"/>
          <w:szCs w:val="22"/>
        </w:rPr>
        <w:footnoteRef/>
      </w:r>
      <w:r w:rsidRPr="00DF586A">
        <w:rPr>
          <w:sz w:val="22"/>
          <w:szCs w:val="22"/>
        </w:rPr>
        <w:t xml:space="preserve"> Victorian Law Reform Commission (2012) </w:t>
      </w:r>
      <w:r w:rsidRPr="00DF586A">
        <w:rPr>
          <w:i/>
          <w:sz w:val="22"/>
          <w:szCs w:val="22"/>
        </w:rPr>
        <w:t>Guardianship Final Report</w:t>
      </w:r>
      <w:r w:rsidRPr="00DF586A">
        <w:rPr>
          <w:sz w:val="22"/>
          <w:szCs w:val="22"/>
        </w:rPr>
        <w:t xml:space="preserve"> </w:t>
      </w:r>
      <w:hyperlink r:id="rId7" w:history="1">
        <w:r w:rsidRPr="00DF586A">
          <w:rPr>
            <w:rStyle w:val="Hyperlink"/>
            <w:sz w:val="22"/>
            <w:szCs w:val="22"/>
          </w:rPr>
          <w:t>http://www.lawreform.vic.gov.au/sites/ default/files/Guardianship_FinalReport_Full%20text.pdf</w:t>
        </w:r>
      </w:hyperlink>
      <w:r w:rsidRPr="00DF586A">
        <w:rPr>
          <w:sz w:val="22"/>
          <w:szCs w:val="22"/>
        </w:rPr>
        <w:t xml:space="preserve">. </w:t>
      </w:r>
    </w:p>
  </w:footnote>
  <w:footnote w:id="16">
    <w:p w:rsidR="0057201C" w:rsidRPr="00DF586A" w:rsidRDefault="0057201C" w:rsidP="00346FC1">
      <w:pPr>
        <w:pStyle w:val="FootnoteText"/>
        <w:rPr>
          <w:sz w:val="22"/>
          <w:szCs w:val="22"/>
        </w:rPr>
      </w:pPr>
      <w:r w:rsidRPr="00DF586A">
        <w:rPr>
          <w:rStyle w:val="FootnoteReference"/>
          <w:sz w:val="22"/>
          <w:szCs w:val="22"/>
        </w:rPr>
        <w:footnoteRef/>
      </w:r>
      <w:r w:rsidRPr="00DF586A">
        <w:rPr>
          <w:sz w:val="22"/>
          <w:szCs w:val="22"/>
        </w:rPr>
        <w:t xml:space="preserve"> </w:t>
      </w:r>
      <w:r w:rsidRPr="00DF586A">
        <w:rPr>
          <w:i/>
          <w:sz w:val="22"/>
          <w:szCs w:val="22"/>
        </w:rPr>
        <w:t xml:space="preserve">UNCRPD </w:t>
      </w:r>
      <w:r w:rsidRPr="00DF586A">
        <w:rPr>
          <w:sz w:val="22"/>
          <w:szCs w:val="22"/>
        </w:rPr>
        <w:t>Article 5 and Article 12.</w:t>
      </w:r>
    </w:p>
  </w:footnote>
  <w:footnote w:id="17">
    <w:p w:rsidR="0057201C" w:rsidRPr="00DF586A" w:rsidRDefault="0057201C">
      <w:pPr>
        <w:pStyle w:val="FootnoteText"/>
        <w:rPr>
          <w:sz w:val="22"/>
          <w:szCs w:val="22"/>
          <w:lang w:val="en-US"/>
        </w:rPr>
      </w:pPr>
      <w:r w:rsidRPr="00DF586A">
        <w:rPr>
          <w:rStyle w:val="FootnoteReference"/>
          <w:sz w:val="22"/>
          <w:szCs w:val="22"/>
        </w:rPr>
        <w:footnoteRef/>
      </w:r>
      <w:r w:rsidRPr="00DF586A">
        <w:rPr>
          <w:sz w:val="22"/>
          <w:szCs w:val="22"/>
        </w:rPr>
        <w:t xml:space="preserve"> </w:t>
      </w:r>
      <w:r w:rsidRPr="00DF586A">
        <w:rPr>
          <w:i/>
          <w:sz w:val="22"/>
          <w:szCs w:val="22"/>
          <w:lang w:val="en-US"/>
        </w:rPr>
        <w:t>National Disability Insurance Scheme Act 2013</w:t>
      </w:r>
      <w:r w:rsidRPr="00DF586A">
        <w:rPr>
          <w:sz w:val="22"/>
          <w:szCs w:val="22"/>
          <w:lang w:val="en-US"/>
        </w:rPr>
        <w:t xml:space="preserve"> (</w:t>
      </w:r>
      <w:proofErr w:type="spellStart"/>
      <w:r w:rsidRPr="00DF586A">
        <w:rPr>
          <w:sz w:val="22"/>
          <w:szCs w:val="22"/>
          <w:lang w:val="en-US"/>
        </w:rPr>
        <w:t>Cth</w:t>
      </w:r>
      <w:proofErr w:type="spellEnd"/>
      <w:r w:rsidRPr="00DF586A">
        <w:rPr>
          <w:sz w:val="22"/>
          <w:szCs w:val="22"/>
          <w:lang w:val="en-US"/>
        </w:rPr>
        <w:t>) s 76(1)(a); s 76 (1)(b).</w:t>
      </w:r>
    </w:p>
  </w:footnote>
  <w:footnote w:id="18">
    <w:p w:rsidR="0057201C" w:rsidRPr="00DF586A" w:rsidRDefault="0057201C">
      <w:pPr>
        <w:pStyle w:val="FootnoteText"/>
        <w:rPr>
          <w:sz w:val="22"/>
          <w:szCs w:val="22"/>
          <w:lang w:val="en-US"/>
        </w:rPr>
      </w:pPr>
      <w:r w:rsidRPr="00DF586A">
        <w:rPr>
          <w:rStyle w:val="FootnoteReference"/>
          <w:sz w:val="22"/>
          <w:szCs w:val="22"/>
        </w:rPr>
        <w:footnoteRef/>
      </w:r>
      <w:r w:rsidRPr="00DF586A">
        <w:rPr>
          <w:sz w:val="22"/>
          <w:szCs w:val="22"/>
        </w:rPr>
        <w:t xml:space="preserve"> </w:t>
      </w:r>
      <w:r w:rsidRPr="00DF586A">
        <w:rPr>
          <w:sz w:val="22"/>
          <w:szCs w:val="22"/>
          <w:lang w:val="en-US"/>
        </w:rPr>
        <w:t xml:space="preserve">National Disability Insurance Agency (2015) </w:t>
      </w:r>
      <w:r w:rsidRPr="00DF586A">
        <w:rPr>
          <w:i/>
          <w:sz w:val="22"/>
          <w:szCs w:val="22"/>
          <w:lang w:val="en-US"/>
        </w:rPr>
        <w:t>Independent Review of the NDIS Act</w:t>
      </w:r>
      <w:r w:rsidRPr="00DF586A">
        <w:rPr>
          <w:sz w:val="22"/>
          <w:szCs w:val="22"/>
          <w:lang w:val="en-US"/>
        </w:rPr>
        <w:t xml:space="preserve"> </w:t>
      </w:r>
      <w:hyperlink r:id="rId8" w:history="1">
        <w:r w:rsidRPr="00DF586A">
          <w:rPr>
            <w:rStyle w:val="Hyperlink"/>
            <w:sz w:val="22"/>
            <w:szCs w:val="22"/>
            <w:lang w:val="en-US"/>
          </w:rPr>
          <w:t>http://www.ndis.gov.au/about-us/governance/legislation/ndis-act-review</w:t>
        </w:r>
      </w:hyperlink>
      <w:r w:rsidRPr="00DF586A">
        <w:rPr>
          <w:sz w:val="22"/>
          <w:szCs w:val="22"/>
          <w:lang w:val="en-US"/>
        </w:rPr>
        <w:t xml:space="preserve">. </w:t>
      </w:r>
    </w:p>
  </w:footnote>
  <w:footnote w:id="19">
    <w:p w:rsidR="0057201C" w:rsidRPr="00DF586A" w:rsidRDefault="0057201C">
      <w:pPr>
        <w:pStyle w:val="FootnoteText"/>
        <w:rPr>
          <w:sz w:val="22"/>
          <w:szCs w:val="22"/>
          <w:lang w:val="en-US"/>
        </w:rPr>
      </w:pPr>
      <w:r w:rsidRPr="00DF586A">
        <w:rPr>
          <w:rStyle w:val="FootnoteReference"/>
          <w:sz w:val="22"/>
          <w:szCs w:val="22"/>
        </w:rPr>
        <w:footnoteRef/>
      </w:r>
      <w:r w:rsidRPr="00DF586A">
        <w:rPr>
          <w:sz w:val="22"/>
          <w:szCs w:val="22"/>
        </w:rPr>
        <w:t xml:space="preserve"> </w:t>
      </w:r>
      <w:proofErr w:type="spellStart"/>
      <w:r w:rsidRPr="00DF586A">
        <w:rPr>
          <w:rFonts w:cs="Arial"/>
          <w:sz w:val="22"/>
          <w:szCs w:val="22"/>
          <w:shd w:val="clear" w:color="auto" w:fill="FFFFFF"/>
        </w:rPr>
        <w:t>McSherry</w:t>
      </w:r>
      <w:proofErr w:type="spellEnd"/>
      <w:r w:rsidRPr="00DF586A">
        <w:rPr>
          <w:rFonts w:cs="Arial"/>
          <w:sz w:val="22"/>
          <w:szCs w:val="22"/>
          <w:shd w:val="clear" w:color="auto" w:fill="FFFFFF"/>
        </w:rPr>
        <w:t>, B.  ‘Legal Capacity Under the Convention on the Rights of Persons with Disabilities’ (2012) 22</w:t>
      </w:r>
      <w:r w:rsidRPr="00DF586A">
        <w:rPr>
          <w:rStyle w:val="apple-converted-space"/>
          <w:rFonts w:cs="Arial"/>
          <w:sz w:val="22"/>
          <w:szCs w:val="22"/>
          <w:shd w:val="clear" w:color="auto" w:fill="FFFFFF"/>
        </w:rPr>
        <w:t> </w:t>
      </w:r>
      <w:r w:rsidRPr="00DF586A">
        <w:rPr>
          <w:rFonts w:cs="Arial"/>
          <w:i/>
          <w:iCs/>
          <w:sz w:val="22"/>
          <w:szCs w:val="22"/>
          <w:shd w:val="clear" w:color="auto" w:fill="FFFFFF"/>
        </w:rPr>
        <w:t>Legal Issues</w:t>
      </w:r>
      <w:r w:rsidRPr="00DF586A">
        <w:rPr>
          <w:rStyle w:val="apple-converted-space"/>
          <w:rFonts w:cs="Arial"/>
          <w:sz w:val="22"/>
          <w:szCs w:val="22"/>
          <w:shd w:val="clear" w:color="auto" w:fill="FFFFFF"/>
        </w:rPr>
        <w:t> </w:t>
      </w:r>
      <w:r w:rsidRPr="00DF586A">
        <w:rPr>
          <w:rFonts w:cs="Arial"/>
          <w:sz w:val="22"/>
          <w:szCs w:val="22"/>
          <w:shd w:val="clear" w:color="auto" w:fill="FFFFFF"/>
        </w:rPr>
        <w:t>23.</w:t>
      </w:r>
    </w:p>
  </w:footnote>
  <w:footnote w:id="20">
    <w:p w:rsidR="0057201C" w:rsidRPr="00DF586A" w:rsidRDefault="0057201C">
      <w:pPr>
        <w:pStyle w:val="FootnoteText"/>
        <w:rPr>
          <w:i/>
          <w:sz w:val="22"/>
          <w:szCs w:val="22"/>
          <w:lang w:val="en-US"/>
        </w:rPr>
      </w:pPr>
      <w:r w:rsidRPr="00DF586A">
        <w:rPr>
          <w:rStyle w:val="FootnoteReference"/>
          <w:sz w:val="22"/>
          <w:szCs w:val="22"/>
        </w:rPr>
        <w:footnoteRef/>
      </w:r>
      <w:r w:rsidRPr="00DF586A">
        <w:rPr>
          <w:sz w:val="22"/>
          <w:szCs w:val="22"/>
        </w:rPr>
        <w:t xml:space="preserve"> </w:t>
      </w:r>
      <w:r w:rsidRPr="00DF586A">
        <w:rPr>
          <w:sz w:val="22"/>
          <w:szCs w:val="22"/>
          <w:lang w:val="en-US"/>
        </w:rPr>
        <w:t xml:space="preserve">Bach, M. &amp; </w:t>
      </w:r>
      <w:proofErr w:type="spellStart"/>
      <w:r w:rsidRPr="00DF586A">
        <w:rPr>
          <w:sz w:val="22"/>
          <w:szCs w:val="22"/>
          <w:lang w:val="en-US"/>
        </w:rPr>
        <w:t>Kerzner</w:t>
      </w:r>
      <w:proofErr w:type="spellEnd"/>
      <w:r w:rsidRPr="00DF586A">
        <w:rPr>
          <w:sz w:val="22"/>
          <w:szCs w:val="22"/>
          <w:lang w:val="en-US"/>
        </w:rPr>
        <w:t xml:space="preserve">, I. (2010) </w:t>
      </w:r>
      <w:r w:rsidRPr="00DF586A">
        <w:rPr>
          <w:i/>
          <w:sz w:val="22"/>
          <w:szCs w:val="22"/>
          <w:lang w:val="en-US"/>
        </w:rPr>
        <w:t xml:space="preserve">A new paradigm for protecting autonomy and the right to legal capacity </w:t>
      </w:r>
      <w:hyperlink r:id="rId9" w:history="1">
        <w:r w:rsidRPr="00DF586A">
          <w:rPr>
            <w:rStyle w:val="Hyperlink"/>
            <w:sz w:val="22"/>
            <w:szCs w:val="22"/>
            <w:lang w:val="en-US"/>
          </w:rPr>
          <w:t>http://www.lco-cdo.org/disabilities/bach-kerzner.pdf</w:t>
        </w:r>
      </w:hyperlink>
      <w:r w:rsidRPr="00DF586A">
        <w:rPr>
          <w:sz w:val="22"/>
          <w:szCs w:val="22"/>
          <w:lang w:val="en-US"/>
        </w:rPr>
        <w:t xml:space="preserve">. </w:t>
      </w:r>
    </w:p>
  </w:footnote>
  <w:footnote w:id="21">
    <w:p w:rsidR="0057201C" w:rsidRPr="00DF586A" w:rsidRDefault="0057201C" w:rsidP="008E2FFE">
      <w:pPr>
        <w:pStyle w:val="FootnoteText"/>
        <w:rPr>
          <w:sz w:val="22"/>
          <w:szCs w:val="22"/>
          <w:lang w:val="en-US"/>
        </w:rPr>
      </w:pPr>
      <w:r w:rsidRPr="00DF586A">
        <w:rPr>
          <w:rStyle w:val="FootnoteReference"/>
          <w:sz w:val="22"/>
          <w:szCs w:val="22"/>
        </w:rPr>
        <w:footnoteRef/>
      </w:r>
      <w:r w:rsidRPr="00DF586A">
        <w:rPr>
          <w:sz w:val="22"/>
          <w:szCs w:val="22"/>
        </w:rPr>
        <w:t xml:space="preserve"> </w:t>
      </w:r>
      <w:r w:rsidRPr="00DF586A">
        <w:rPr>
          <w:sz w:val="22"/>
          <w:szCs w:val="22"/>
          <w:lang w:val="en-US"/>
        </w:rPr>
        <w:t xml:space="preserve">Office of the Public Advocate South Australia (2010) </w:t>
      </w:r>
      <w:r w:rsidRPr="00DF586A">
        <w:rPr>
          <w:i/>
          <w:sz w:val="22"/>
          <w:szCs w:val="22"/>
          <w:lang w:val="en-US"/>
        </w:rPr>
        <w:t>Submission to the Productivity Commission Inquiry into Disability Care and Support</w:t>
      </w:r>
      <w:r w:rsidRPr="00DF586A">
        <w:rPr>
          <w:sz w:val="22"/>
          <w:szCs w:val="22"/>
          <w:lang w:val="en-US"/>
        </w:rPr>
        <w:t xml:space="preserve"> </w:t>
      </w:r>
      <w:hyperlink r:id="rId10" w:history="1">
        <w:r w:rsidRPr="00DF586A">
          <w:rPr>
            <w:rStyle w:val="Hyperlink"/>
            <w:sz w:val="22"/>
            <w:szCs w:val="22"/>
            <w:lang w:val="en-US"/>
          </w:rPr>
          <w:t>http://www.publicadvocate.vic.gov.au/advocacy-research/ndis</w:t>
        </w:r>
      </w:hyperlink>
      <w:r w:rsidRPr="00DF586A">
        <w:rPr>
          <w:sz w:val="22"/>
          <w:szCs w:val="22"/>
          <w:lang w:val="en-US"/>
        </w:rPr>
        <w:t xml:space="preserve">. </w:t>
      </w:r>
    </w:p>
  </w:footnote>
  <w:footnote w:id="22">
    <w:p w:rsidR="0057201C" w:rsidRPr="00DF586A" w:rsidRDefault="0057201C">
      <w:pPr>
        <w:pStyle w:val="FootnoteText"/>
        <w:rPr>
          <w:sz w:val="22"/>
          <w:szCs w:val="22"/>
          <w:lang w:val="en-US"/>
        </w:rPr>
      </w:pPr>
      <w:r w:rsidRPr="00DF586A">
        <w:rPr>
          <w:rStyle w:val="FootnoteReference"/>
          <w:sz w:val="22"/>
          <w:szCs w:val="22"/>
        </w:rPr>
        <w:footnoteRef/>
      </w:r>
      <w:r w:rsidRPr="00DF586A">
        <w:rPr>
          <w:sz w:val="22"/>
          <w:szCs w:val="22"/>
        </w:rPr>
        <w:t xml:space="preserve"> Australian Law Reform Commission (2014) </w:t>
      </w:r>
      <w:r w:rsidRPr="00DF586A">
        <w:rPr>
          <w:i/>
          <w:sz w:val="22"/>
          <w:szCs w:val="22"/>
        </w:rPr>
        <w:t>Equality, Capacity and Disability in Commonwealth Laws</w:t>
      </w:r>
      <w:r w:rsidRPr="00DF586A">
        <w:rPr>
          <w:sz w:val="22"/>
          <w:szCs w:val="22"/>
        </w:rPr>
        <w:t xml:space="preserve"> </w:t>
      </w:r>
      <w:hyperlink r:id="rId11" w:history="1">
        <w:r w:rsidRPr="00DF586A">
          <w:rPr>
            <w:rStyle w:val="Hyperlink"/>
            <w:sz w:val="22"/>
            <w:szCs w:val="22"/>
          </w:rPr>
          <w:t>https://www.alrc.gov.au/publications/equality-capacity-disability-report-124</w:t>
        </w:r>
      </w:hyperlink>
      <w:r w:rsidRPr="00DF586A">
        <w:rPr>
          <w:sz w:val="22"/>
          <w:szCs w:val="22"/>
        </w:rPr>
        <w:t xml:space="preserve">. </w:t>
      </w:r>
    </w:p>
  </w:footnote>
  <w:footnote w:id="23">
    <w:p w:rsidR="0057201C" w:rsidRPr="00DF586A" w:rsidRDefault="0057201C">
      <w:pPr>
        <w:pStyle w:val="FootnoteText"/>
        <w:rPr>
          <w:sz w:val="22"/>
          <w:szCs w:val="22"/>
          <w:lang w:val="en-US"/>
        </w:rPr>
      </w:pPr>
      <w:r w:rsidRPr="00DF586A">
        <w:rPr>
          <w:rStyle w:val="FootnoteReference"/>
          <w:sz w:val="22"/>
          <w:szCs w:val="22"/>
        </w:rPr>
        <w:footnoteRef/>
      </w:r>
      <w:r w:rsidRPr="00DF586A">
        <w:rPr>
          <w:sz w:val="22"/>
          <w:szCs w:val="22"/>
        </w:rPr>
        <w:t xml:space="preserve"> Department of Family and Community Services NSW (2015) </w:t>
      </w:r>
      <w:r w:rsidRPr="00DF586A">
        <w:rPr>
          <w:i/>
          <w:sz w:val="22"/>
          <w:szCs w:val="22"/>
        </w:rPr>
        <w:t>My Life, My Decision: An Independent Evaluation of the Supported Decision Making Pilot</w:t>
      </w:r>
      <w:r w:rsidRPr="00DF586A">
        <w:rPr>
          <w:sz w:val="22"/>
          <w:szCs w:val="22"/>
        </w:rPr>
        <w:t xml:space="preserve"> </w:t>
      </w:r>
      <w:hyperlink r:id="rId12" w:history="1">
        <w:r w:rsidR="00DF586A" w:rsidRPr="00DF586A">
          <w:rPr>
            <w:rStyle w:val="Hyperlink"/>
            <w:sz w:val="22"/>
            <w:szCs w:val="22"/>
          </w:rPr>
          <w:t>http://www.adhc.nsw.gov.au/__data/ assets/file/0009/346194/sdm_pilot_project_evaluation_report.pdf</w:t>
        </w:r>
      </w:hyperlink>
      <w:r w:rsidR="00DF586A" w:rsidRPr="00DF586A">
        <w:rPr>
          <w:sz w:val="22"/>
          <w:szCs w:val="22"/>
        </w:rPr>
        <w:t xml:space="preserve">. </w:t>
      </w:r>
    </w:p>
  </w:footnote>
  <w:footnote w:id="24">
    <w:p w:rsidR="0057201C" w:rsidRPr="00DF586A" w:rsidRDefault="0057201C">
      <w:pPr>
        <w:pStyle w:val="FootnoteText"/>
        <w:rPr>
          <w:sz w:val="22"/>
          <w:szCs w:val="22"/>
          <w:lang w:val="en-US"/>
        </w:rPr>
      </w:pPr>
      <w:r w:rsidRPr="00DF586A">
        <w:rPr>
          <w:rStyle w:val="FootnoteReference"/>
          <w:sz w:val="22"/>
          <w:szCs w:val="22"/>
        </w:rPr>
        <w:footnoteRef/>
      </w:r>
      <w:r w:rsidRPr="00DF586A">
        <w:rPr>
          <w:sz w:val="22"/>
          <w:szCs w:val="22"/>
        </w:rPr>
        <w:t xml:space="preserve"> </w:t>
      </w:r>
      <w:r w:rsidR="00DF586A" w:rsidRPr="00DF586A">
        <w:rPr>
          <w:sz w:val="22"/>
          <w:szCs w:val="22"/>
        </w:rPr>
        <w:t>Ibid.</w:t>
      </w:r>
    </w:p>
  </w:footnote>
  <w:footnote w:id="25">
    <w:p w:rsidR="0057201C" w:rsidRPr="00DF586A" w:rsidRDefault="0057201C">
      <w:pPr>
        <w:pStyle w:val="FootnoteText"/>
        <w:rPr>
          <w:sz w:val="22"/>
          <w:szCs w:val="22"/>
          <w:lang w:val="en-US"/>
        </w:rPr>
      </w:pPr>
      <w:r w:rsidRPr="00DF586A">
        <w:rPr>
          <w:rStyle w:val="FootnoteReference"/>
          <w:sz w:val="22"/>
          <w:szCs w:val="22"/>
        </w:rPr>
        <w:footnoteRef/>
      </w:r>
      <w:r w:rsidRPr="00DF586A">
        <w:rPr>
          <w:sz w:val="22"/>
          <w:szCs w:val="22"/>
        </w:rPr>
        <w:t xml:space="preserve"> </w:t>
      </w:r>
      <w:r w:rsidR="00DF586A" w:rsidRPr="00DF586A">
        <w:rPr>
          <w:sz w:val="22"/>
          <w:szCs w:val="22"/>
        </w:rPr>
        <w:t xml:space="preserve">Wallace, M. (2012) </w:t>
      </w:r>
      <w:r w:rsidR="00DF586A" w:rsidRPr="00DF586A">
        <w:rPr>
          <w:i/>
          <w:sz w:val="22"/>
          <w:szCs w:val="22"/>
        </w:rPr>
        <w:t>Evaluation of the Supported Decision Making Project</w:t>
      </w:r>
      <w:r w:rsidR="00DF586A" w:rsidRPr="00DF586A">
        <w:rPr>
          <w:sz w:val="22"/>
          <w:szCs w:val="22"/>
        </w:rPr>
        <w:t xml:space="preserve"> </w:t>
      </w:r>
      <w:hyperlink w:history="1">
        <w:r w:rsidR="00DF586A" w:rsidRPr="00DF586A">
          <w:rPr>
            <w:rStyle w:val="Hyperlink"/>
            <w:sz w:val="22"/>
            <w:szCs w:val="22"/>
          </w:rPr>
          <w:t>http://www.opa.sa. gov.au/resources/</w:t>
        </w:r>
        <w:proofErr w:type="spellStart"/>
        <w:r w:rsidR="00DF586A" w:rsidRPr="00DF586A">
          <w:rPr>
            <w:rStyle w:val="Hyperlink"/>
            <w:sz w:val="22"/>
            <w:szCs w:val="22"/>
          </w:rPr>
          <w:t>supported_decision_making</w:t>
        </w:r>
        <w:proofErr w:type="spellEnd"/>
      </w:hyperlink>
      <w:r w:rsidR="00DF586A" w:rsidRPr="00DF586A">
        <w:rPr>
          <w:sz w:val="22"/>
          <w:szCs w:val="22"/>
        </w:rPr>
        <w:t xml:space="preserve">. </w:t>
      </w:r>
    </w:p>
  </w:footnote>
  <w:footnote w:id="26">
    <w:p w:rsidR="00DF586A" w:rsidRPr="00DF586A" w:rsidRDefault="00DF586A">
      <w:pPr>
        <w:pStyle w:val="FootnoteText"/>
        <w:rPr>
          <w:sz w:val="22"/>
          <w:szCs w:val="22"/>
          <w:lang w:val="en-US"/>
        </w:rPr>
      </w:pPr>
      <w:r w:rsidRPr="00DF586A">
        <w:rPr>
          <w:rStyle w:val="FootnoteReference"/>
          <w:sz w:val="22"/>
          <w:szCs w:val="22"/>
        </w:rPr>
        <w:footnoteRef/>
      </w:r>
      <w:r w:rsidRPr="00DF586A">
        <w:rPr>
          <w:sz w:val="22"/>
          <w:szCs w:val="22"/>
        </w:rPr>
        <w:t xml:space="preserve"> </w:t>
      </w:r>
      <w:r w:rsidRPr="00DF586A">
        <w:rPr>
          <w:sz w:val="22"/>
          <w:szCs w:val="22"/>
          <w:lang w:val="en-US"/>
        </w:rPr>
        <w:t>Ibid.</w:t>
      </w:r>
    </w:p>
  </w:footnote>
  <w:footnote w:id="27">
    <w:p w:rsidR="0057201C" w:rsidRPr="00DF586A" w:rsidRDefault="0057201C">
      <w:pPr>
        <w:pStyle w:val="FootnoteText"/>
        <w:rPr>
          <w:sz w:val="22"/>
          <w:szCs w:val="22"/>
          <w:lang w:val="en-US"/>
        </w:rPr>
      </w:pPr>
      <w:r w:rsidRPr="00DF586A">
        <w:rPr>
          <w:rStyle w:val="FootnoteReference"/>
          <w:sz w:val="22"/>
          <w:szCs w:val="22"/>
        </w:rPr>
        <w:footnoteRef/>
      </w:r>
      <w:r w:rsidRPr="00DF586A">
        <w:rPr>
          <w:sz w:val="22"/>
          <w:szCs w:val="22"/>
        </w:rPr>
        <w:t xml:space="preserve"> </w:t>
      </w:r>
      <w:r w:rsidR="00DF586A" w:rsidRPr="00DF586A">
        <w:rPr>
          <w:sz w:val="22"/>
          <w:szCs w:val="22"/>
        </w:rPr>
        <w:t xml:space="preserve">Victorian Law Reform Commission (2012) </w:t>
      </w:r>
      <w:r w:rsidR="00DF586A" w:rsidRPr="00DF586A">
        <w:rPr>
          <w:i/>
          <w:sz w:val="22"/>
          <w:szCs w:val="22"/>
        </w:rPr>
        <w:t>Guardianship Final Report</w:t>
      </w:r>
      <w:r w:rsidR="00DF586A" w:rsidRPr="00DF586A">
        <w:rPr>
          <w:sz w:val="22"/>
          <w:szCs w:val="22"/>
        </w:rPr>
        <w:t xml:space="preserve"> </w:t>
      </w:r>
      <w:hyperlink r:id="rId13" w:history="1">
        <w:r w:rsidR="00DF586A" w:rsidRPr="00DF586A">
          <w:rPr>
            <w:rStyle w:val="Hyperlink"/>
            <w:sz w:val="22"/>
            <w:szCs w:val="22"/>
          </w:rPr>
          <w:t>http://www.lawreform.vic.gov.au/sites/ default/files/Guardianship_FinalReport_Full%20text.pdf</w:t>
        </w:r>
      </w:hyperlink>
      <w:r w:rsidR="00DF586A" w:rsidRPr="00DF586A">
        <w:rPr>
          <w:sz w:val="22"/>
          <w:szCs w:val="22"/>
        </w:rPr>
        <w:t>.</w:t>
      </w:r>
    </w:p>
  </w:footnote>
  <w:footnote w:id="28">
    <w:p w:rsidR="00DF586A" w:rsidRPr="00DF586A" w:rsidRDefault="00DF586A">
      <w:pPr>
        <w:pStyle w:val="FootnoteText"/>
        <w:rPr>
          <w:sz w:val="22"/>
          <w:szCs w:val="22"/>
          <w:lang w:val="en-US"/>
        </w:rPr>
      </w:pPr>
      <w:r w:rsidRPr="00DF586A">
        <w:rPr>
          <w:rStyle w:val="FootnoteReference"/>
          <w:sz w:val="22"/>
          <w:szCs w:val="22"/>
        </w:rPr>
        <w:footnoteRef/>
      </w:r>
      <w:r w:rsidRPr="00DF586A">
        <w:rPr>
          <w:sz w:val="22"/>
          <w:szCs w:val="22"/>
        </w:rPr>
        <w:t xml:space="preserve"> </w:t>
      </w:r>
      <w:r w:rsidRPr="00DF586A">
        <w:rPr>
          <w:sz w:val="22"/>
          <w:szCs w:val="22"/>
          <w:lang w:val="en-US"/>
        </w:rPr>
        <w:t>Ibid.</w:t>
      </w:r>
    </w:p>
  </w:footnote>
  <w:footnote w:id="29">
    <w:p w:rsidR="0057201C" w:rsidRPr="00DF586A" w:rsidRDefault="0057201C">
      <w:pPr>
        <w:pStyle w:val="FootnoteText"/>
        <w:rPr>
          <w:sz w:val="22"/>
          <w:szCs w:val="22"/>
          <w:lang w:val="en-US"/>
        </w:rPr>
      </w:pPr>
      <w:r w:rsidRPr="00DF586A">
        <w:rPr>
          <w:rStyle w:val="FootnoteReference"/>
          <w:sz w:val="22"/>
          <w:szCs w:val="22"/>
        </w:rPr>
        <w:footnoteRef/>
      </w:r>
      <w:r w:rsidRPr="00DF586A">
        <w:rPr>
          <w:sz w:val="22"/>
          <w:szCs w:val="22"/>
        </w:rPr>
        <w:t xml:space="preserve"> </w:t>
      </w:r>
      <w:r w:rsidRPr="00DF586A">
        <w:rPr>
          <w:i/>
          <w:sz w:val="22"/>
          <w:szCs w:val="22"/>
        </w:rPr>
        <w:t>Powers of Attorney Act</w:t>
      </w:r>
      <w:r w:rsidR="00DF586A">
        <w:rPr>
          <w:sz w:val="22"/>
          <w:szCs w:val="22"/>
        </w:rPr>
        <w:t xml:space="preserve"> </w:t>
      </w:r>
      <w:r w:rsidR="00DF586A">
        <w:rPr>
          <w:i/>
          <w:sz w:val="22"/>
          <w:szCs w:val="22"/>
        </w:rPr>
        <w:t>2014</w:t>
      </w:r>
      <w:r w:rsidR="00DF586A">
        <w:rPr>
          <w:sz w:val="22"/>
          <w:szCs w:val="22"/>
        </w:rPr>
        <w:t xml:space="preserve"> (Vic)  s </w:t>
      </w:r>
      <w:r w:rsidRPr="00DF586A">
        <w:rPr>
          <w:sz w:val="22"/>
          <w:szCs w:val="22"/>
        </w:rPr>
        <w:t>86</w:t>
      </w:r>
      <w:r w:rsidR="00DF586A">
        <w:rPr>
          <w:sz w:val="22"/>
          <w:szCs w:val="22"/>
        </w:rPr>
        <w:t>.</w:t>
      </w:r>
    </w:p>
  </w:footnote>
  <w:footnote w:id="30">
    <w:p w:rsidR="0057201C" w:rsidRPr="00DF586A" w:rsidRDefault="0057201C">
      <w:pPr>
        <w:pStyle w:val="FootnoteText"/>
        <w:rPr>
          <w:sz w:val="22"/>
          <w:szCs w:val="22"/>
          <w:lang w:val="en-US"/>
        </w:rPr>
      </w:pPr>
      <w:r w:rsidRPr="00DF586A">
        <w:rPr>
          <w:rStyle w:val="FootnoteReference"/>
          <w:sz w:val="22"/>
          <w:szCs w:val="22"/>
        </w:rPr>
        <w:footnoteRef/>
      </w:r>
      <w:r w:rsidRPr="00DF586A">
        <w:rPr>
          <w:sz w:val="22"/>
          <w:szCs w:val="22"/>
        </w:rPr>
        <w:t xml:space="preserve"> </w:t>
      </w:r>
      <w:r w:rsidR="00DF586A" w:rsidRPr="00DF586A">
        <w:rPr>
          <w:sz w:val="22"/>
          <w:szCs w:val="22"/>
        </w:rPr>
        <w:t xml:space="preserve">Australian Law Reform Commission (2014) </w:t>
      </w:r>
      <w:r w:rsidR="00DF586A" w:rsidRPr="00DF586A">
        <w:rPr>
          <w:i/>
          <w:sz w:val="22"/>
          <w:szCs w:val="22"/>
        </w:rPr>
        <w:t>Equality, Capacity and Disability in Commonwealth Laws</w:t>
      </w:r>
      <w:r w:rsidR="00DF586A" w:rsidRPr="00DF586A">
        <w:rPr>
          <w:sz w:val="22"/>
          <w:szCs w:val="22"/>
        </w:rPr>
        <w:t xml:space="preserve"> </w:t>
      </w:r>
      <w:hyperlink r:id="rId14" w:history="1">
        <w:r w:rsidR="00DF586A" w:rsidRPr="00DF586A">
          <w:rPr>
            <w:rStyle w:val="Hyperlink"/>
            <w:sz w:val="22"/>
            <w:szCs w:val="22"/>
          </w:rPr>
          <w:t>https://www.alrc.gov.au/publications/equality-capacity-disability-report-124</w:t>
        </w:r>
      </w:hyperlink>
      <w:r w:rsidR="00DF586A" w:rsidRPr="00DF586A">
        <w:rPr>
          <w:sz w:val="22"/>
          <w:szCs w:val="22"/>
        </w:rPr>
        <w:t>.</w:t>
      </w:r>
      <w:r w:rsidR="00DF586A">
        <w:rPr>
          <w:sz w:val="22"/>
          <w:szCs w:val="22"/>
        </w:rPr>
        <w:t xml:space="preserve"> </w:t>
      </w:r>
    </w:p>
  </w:footnote>
  <w:footnote w:id="31">
    <w:p w:rsidR="0057201C" w:rsidRPr="00AF6616" w:rsidRDefault="0057201C">
      <w:pPr>
        <w:pStyle w:val="FootnoteText"/>
        <w:rPr>
          <w:sz w:val="22"/>
          <w:szCs w:val="22"/>
          <w:lang w:val="en-US"/>
        </w:rPr>
      </w:pPr>
      <w:r w:rsidRPr="00DF586A">
        <w:rPr>
          <w:rStyle w:val="FootnoteReference"/>
          <w:sz w:val="22"/>
          <w:szCs w:val="22"/>
        </w:rPr>
        <w:footnoteRef/>
      </w:r>
      <w:r w:rsidRPr="00DF586A">
        <w:rPr>
          <w:sz w:val="22"/>
          <w:szCs w:val="22"/>
        </w:rPr>
        <w:t xml:space="preserve"> </w:t>
      </w:r>
      <w:r w:rsidR="0067142B">
        <w:rPr>
          <w:i/>
          <w:sz w:val="22"/>
          <w:szCs w:val="22"/>
        </w:rPr>
        <w:t xml:space="preserve">UNCRPD </w:t>
      </w:r>
      <w:r w:rsidR="0067142B">
        <w:rPr>
          <w:sz w:val="22"/>
          <w:szCs w:val="22"/>
        </w:rPr>
        <w:t>Article</w:t>
      </w:r>
      <w:r w:rsidR="00AF6616">
        <w:rPr>
          <w:sz w:val="22"/>
          <w:szCs w:val="22"/>
        </w:rPr>
        <w:t xml:space="preserve"> 5.</w:t>
      </w:r>
    </w:p>
  </w:footnote>
  <w:footnote w:id="32">
    <w:p w:rsidR="0057201C" w:rsidRPr="00DF586A" w:rsidRDefault="0057201C" w:rsidP="003765BF">
      <w:pPr>
        <w:pStyle w:val="FootnoteText"/>
        <w:rPr>
          <w:sz w:val="22"/>
          <w:szCs w:val="22"/>
          <w:lang w:val="en-US"/>
        </w:rPr>
      </w:pPr>
      <w:r w:rsidRPr="00DF586A">
        <w:rPr>
          <w:rStyle w:val="FootnoteReference"/>
          <w:sz w:val="22"/>
          <w:szCs w:val="22"/>
        </w:rPr>
        <w:footnoteRef/>
      </w:r>
      <w:r w:rsidRPr="00DF586A">
        <w:rPr>
          <w:sz w:val="22"/>
          <w:szCs w:val="22"/>
        </w:rPr>
        <w:t xml:space="preserve"> </w:t>
      </w:r>
      <w:r w:rsidRPr="00AF6616">
        <w:rPr>
          <w:rFonts w:cs="Arial"/>
          <w:sz w:val="22"/>
          <w:szCs w:val="22"/>
          <w:shd w:val="clear" w:color="auto" w:fill="FFFFFF"/>
        </w:rPr>
        <w:t>United Nations Committee on the Righ</w:t>
      </w:r>
      <w:r w:rsidR="00AF6616" w:rsidRPr="00AF6616">
        <w:rPr>
          <w:rFonts w:cs="Arial"/>
          <w:sz w:val="22"/>
          <w:szCs w:val="22"/>
          <w:shd w:val="clear" w:color="auto" w:fill="FFFFFF"/>
        </w:rPr>
        <w:t xml:space="preserve">ts of Persons with Disabilities (2014) </w:t>
      </w:r>
      <w:r w:rsidRPr="00AF6616">
        <w:rPr>
          <w:rFonts w:cs="Arial"/>
          <w:i/>
          <w:iCs/>
          <w:sz w:val="22"/>
          <w:szCs w:val="22"/>
          <w:shd w:val="clear" w:color="auto" w:fill="FFFFFF"/>
        </w:rPr>
        <w:t>General Comment No 1 (2014) on Article 12 of the Convention—Equal Recognition before the Law</w:t>
      </w:r>
      <w:r w:rsidRPr="00AF6616">
        <w:rPr>
          <w:rStyle w:val="apple-converted-space"/>
          <w:rFonts w:cs="Arial"/>
          <w:sz w:val="22"/>
          <w:szCs w:val="22"/>
          <w:shd w:val="clear" w:color="auto" w:fill="FFFFFF"/>
        </w:rPr>
        <w:t> </w:t>
      </w:r>
      <w:hyperlink w:history="1">
        <w:r w:rsidR="00AF6616" w:rsidRPr="00407A6D">
          <w:rPr>
            <w:rStyle w:val="Hyperlink"/>
            <w:rFonts w:cs="Arial"/>
            <w:sz w:val="22"/>
            <w:szCs w:val="22"/>
            <w:shd w:val="clear" w:color="auto" w:fill="FFFFFF"/>
          </w:rPr>
          <w:t>http://tbinternet. ohchr.org/_layouts/treatybodyexternal/Download.aspx?symbolno=CRPD/C/GC/1&amp;Lang=en</w:t>
        </w:r>
      </w:hyperlink>
      <w:r w:rsidR="00AF6616">
        <w:rPr>
          <w:rStyle w:val="apple-converted-space"/>
          <w:rFonts w:cs="Arial"/>
          <w:color w:val="555555"/>
          <w:sz w:val="22"/>
          <w:szCs w:val="22"/>
          <w:shd w:val="clear" w:color="auto" w:fill="FFFFFF"/>
        </w:rPr>
        <w:t xml:space="preserve"> </w:t>
      </w:r>
    </w:p>
  </w:footnote>
  <w:footnote w:id="33">
    <w:p w:rsidR="0057201C" w:rsidRPr="00AF6616" w:rsidRDefault="0057201C">
      <w:pPr>
        <w:pStyle w:val="FootnoteText"/>
        <w:rPr>
          <w:sz w:val="22"/>
          <w:szCs w:val="22"/>
          <w:lang w:val="en-US"/>
        </w:rPr>
      </w:pPr>
      <w:r w:rsidRPr="00DF586A">
        <w:rPr>
          <w:rStyle w:val="FootnoteReference"/>
          <w:sz w:val="22"/>
          <w:szCs w:val="22"/>
        </w:rPr>
        <w:footnoteRef/>
      </w:r>
      <w:r w:rsidRPr="00DF586A">
        <w:rPr>
          <w:sz w:val="22"/>
          <w:szCs w:val="22"/>
        </w:rPr>
        <w:t xml:space="preserve"> </w:t>
      </w:r>
      <w:r w:rsidR="00AF6616">
        <w:rPr>
          <w:sz w:val="22"/>
          <w:szCs w:val="22"/>
          <w:lang w:val="en-US"/>
        </w:rPr>
        <w:t xml:space="preserve">Mental Disability Advocacy Centre (no date) </w:t>
      </w:r>
      <w:r w:rsidR="00AF6616">
        <w:rPr>
          <w:i/>
          <w:sz w:val="22"/>
          <w:szCs w:val="22"/>
          <w:lang w:val="en-US"/>
        </w:rPr>
        <w:t>Supported Decision-Making: An Alternative to Guardianship</w:t>
      </w:r>
      <w:r w:rsidR="00AF6616">
        <w:rPr>
          <w:sz w:val="22"/>
          <w:szCs w:val="22"/>
          <w:lang w:val="en-US"/>
        </w:rPr>
        <w:t xml:space="preserve"> </w:t>
      </w:r>
      <w:hyperlink r:id="rId15" w:history="1">
        <w:r w:rsidR="00AF6616" w:rsidRPr="00407A6D">
          <w:rPr>
            <w:rStyle w:val="Hyperlink"/>
            <w:sz w:val="22"/>
            <w:szCs w:val="22"/>
            <w:lang w:val="en-US"/>
          </w:rPr>
          <w:t>http://mdac.info/sites/mdac.info/files/English_Supported_Decision-making_An_Alternative_to_Guardianship.pdf</w:t>
        </w:r>
      </w:hyperlink>
      <w:r w:rsidR="00AF6616">
        <w:rPr>
          <w:sz w:val="22"/>
          <w:szCs w:val="22"/>
          <w:lang w:val="en-US"/>
        </w:rPr>
        <w:t xml:space="preserve">.  </w:t>
      </w:r>
    </w:p>
  </w:footnote>
  <w:footnote w:id="34">
    <w:p w:rsidR="0057201C" w:rsidRPr="00DF586A" w:rsidRDefault="0057201C">
      <w:pPr>
        <w:pStyle w:val="FootnoteText"/>
        <w:rPr>
          <w:sz w:val="22"/>
          <w:szCs w:val="22"/>
          <w:lang w:val="en-US"/>
        </w:rPr>
      </w:pPr>
      <w:r w:rsidRPr="00DF586A">
        <w:rPr>
          <w:rStyle w:val="FootnoteReference"/>
          <w:sz w:val="22"/>
          <w:szCs w:val="22"/>
        </w:rPr>
        <w:footnoteRef/>
      </w:r>
      <w:r w:rsidRPr="00DF586A">
        <w:rPr>
          <w:sz w:val="22"/>
          <w:szCs w:val="22"/>
        </w:rPr>
        <w:t xml:space="preserve"> </w:t>
      </w:r>
      <w:r w:rsidR="009F219B" w:rsidRPr="00DF586A">
        <w:rPr>
          <w:sz w:val="22"/>
          <w:szCs w:val="22"/>
        </w:rPr>
        <w:t xml:space="preserve">Australian Law Reform Commission (2014) </w:t>
      </w:r>
      <w:r w:rsidR="009F219B" w:rsidRPr="00DF586A">
        <w:rPr>
          <w:i/>
          <w:sz w:val="22"/>
          <w:szCs w:val="22"/>
        </w:rPr>
        <w:t>Equality, Capacity and Disability in Commonwealth Laws</w:t>
      </w:r>
      <w:r w:rsidR="009F219B" w:rsidRPr="00DF586A">
        <w:rPr>
          <w:sz w:val="22"/>
          <w:szCs w:val="22"/>
        </w:rPr>
        <w:t xml:space="preserve"> </w:t>
      </w:r>
      <w:hyperlink r:id="rId16" w:history="1">
        <w:r w:rsidR="009F219B" w:rsidRPr="00DF586A">
          <w:rPr>
            <w:rStyle w:val="Hyperlink"/>
            <w:sz w:val="22"/>
            <w:szCs w:val="22"/>
          </w:rPr>
          <w:t>https://www.alrc.gov.au/publications/equality-capacity-disability-report-124</w:t>
        </w:r>
      </w:hyperlink>
      <w:r w:rsidR="009F219B" w:rsidRPr="00DF586A">
        <w:rPr>
          <w:sz w:val="22"/>
          <w:szCs w:val="22"/>
        </w:rPr>
        <w:t>.</w:t>
      </w:r>
      <w:r w:rsidR="009F219B">
        <w:rPr>
          <w:sz w:val="22"/>
          <w:szCs w:val="22"/>
        </w:rPr>
        <w:t xml:space="preserve"> </w:t>
      </w:r>
    </w:p>
  </w:footnote>
  <w:footnote w:id="35">
    <w:p w:rsidR="0057201C" w:rsidRPr="009F219B" w:rsidRDefault="0057201C">
      <w:pPr>
        <w:pStyle w:val="FootnoteText"/>
        <w:rPr>
          <w:sz w:val="22"/>
          <w:szCs w:val="22"/>
          <w:lang w:val="en-US"/>
        </w:rPr>
      </w:pPr>
      <w:r w:rsidRPr="00DF586A">
        <w:rPr>
          <w:rStyle w:val="FootnoteReference"/>
          <w:sz w:val="22"/>
          <w:szCs w:val="22"/>
        </w:rPr>
        <w:footnoteRef/>
      </w:r>
      <w:r w:rsidRPr="00DF586A">
        <w:rPr>
          <w:sz w:val="22"/>
          <w:szCs w:val="22"/>
        </w:rPr>
        <w:t xml:space="preserve"> </w:t>
      </w:r>
      <w:r w:rsidR="009F219B">
        <w:rPr>
          <w:sz w:val="22"/>
          <w:szCs w:val="22"/>
        </w:rPr>
        <w:t xml:space="preserve">NSW Council for Intellectual Disability (2015) </w:t>
      </w:r>
      <w:r w:rsidR="009F219B" w:rsidRPr="009F219B">
        <w:rPr>
          <w:i/>
          <w:sz w:val="22"/>
          <w:szCs w:val="22"/>
        </w:rPr>
        <w:t>Supported decision making YES! But what role for substitute decision-making?</w:t>
      </w:r>
      <w:r w:rsidR="009F219B">
        <w:rPr>
          <w:sz w:val="22"/>
          <w:szCs w:val="22"/>
        </w:rPr>
        <w:t xml:space="preserve"> </w:t>
      </w:r>
      <w:hyperlink r:id="rId17" w:history="1">
        <w:r w:rsidR="009F219B" w:rsidRPr="00407A6D">
          <w:rPr>
            <w:rStyle w:val="Hyperlink"/>
            <w:sz w:val="22"/>
            <w:szCs w:val="22"/>
          </w:rPr>
          <w:t>http://nswcid.blogspot.com.au/2015/06/supported-decision-making-yes-but-what.html</w:t>
        </w:r>
      </w:hyperlink>
      <w:r w:rsidR="009F219B">
        <w:rPr>
          <w:sz w:val="22"/>
          <w:szCs w:val="22"/>
        </w:rPr>
        <w:t xml:space="preserve">. </w:t>
      </w:r>
    </w:p>
  </w:footnote>
  <w:footnote w:id="36">
    <w:p w:rsidR="009F219B" w:rsidRPr="009F219B" w:rsidRDefault="009F219B">
      <w:pPr>
        <w:pStyle w:val="FootnoteText"/>
        <w:rPr>
          <w:lang w:val="en-US"/>
        </w:rPr>
      </w:pPr>
      <w:r>
        <w:rPr>
          <w:rStyle w:val="FootnoteReference"/>
        </w:rPr>
        <w:footnoteRef/>
      </w:r>
      <w:r>
        <w:t xml:space="preserve"> </w:t>
      </w:r>
      <w:r w:rsidRPr="00DF586A">
        <w:rPr>
          <w:sz w:val="22"/>
          <w:szCs w:val="22"/>
        </w:rPr>
        <w:t xml:space="preserve">Victorian Law Reform Commission (2012) </w:t>
      </w:r>
      <w:r w:rsidRPr="00DF586A">
        <w:rPr>
          <w:i/>
          <w:sz w:val="22"/>
          <w:szCs w:val="22"/>
        </w:rPr>
        <w:t>Guardianship Final Report</w:t>
      </w:r>
      <w:r w:rsidRPr="00DF586A">
        <w:rPr>
          <w:sz w:val="22"/>
          <w:szCs w:val="22"/>
        </w:rPr>
        <w:t xml:space="preserve"> </w:t>
      </w:r>
      <w:hyperlink r:id="rId18" w:history="1">
        <w:r w:rsidRPr="00DF586A">
          <w:rPr>
            <w:rStyle w:val="Hyperlink"/>
            <w:sz w:val="22"/>
            <w:szCs w:val="22"/>
          </w:rPr>
          <w:t>http://www.lawreform.vic.gov.au/sites/ default/files/Guardianship_FinalReport_Full%20text.pdf</w:t>
        </w:r>
      </w:hyperlink>
      <w:r w:rsidRPr="00DF586A">
        <w:rPr>
          <w:sz w:val="22"/>
          <w:szCs w:val="22"/>
        </w:rPr>
        <w:t>.</w:t>
      </w:r>
    </w:p>
  </w:footnote>
  <w:footnote w:id="37">
    <w:p w:rsidR="0057201C" w:rsidRPr="00DF586A" w:rsidRDefault="0057201C">
      <w:pPr>
        <w:pStyle w:val="FootnoteText"/>
        <w:rPr>
          <w:sz w:val="22"/>
          <w:szCs w:val="22"/>
          <w:lang w:val="en-US"/>
        </w:rPr>
      </w:pPr>
      <w:r w:rsidRPr="00DF586A">
        <w:rPr>
          <w:rStyle w:val="FootnoteReference"/>
          <w:sz w:val="22"/>
          <w:szCs w:val="22"/>
        </w:rPr>
        <w:footnoteRef/>
      </w:r>
      <w:r w:rsidRPr="00DF586A">
        <w:rPr>
          <w:sz w:val="22"/>
          <w:szCs w:val="22"/>
        </w:rPr>
        <w:t xml:space="preserve"> </w:t>
      </w:r>
      <w:r w:rsidR="009F219B" w:rsidRPr="00DF586A">
        <w:rPr>
          <w:sz w:val="22"/>
          <w:szCs w:val="22"/>
        </w:rPr>
        <w:t xml:space="preserve">Victorian Law Reform Commission (2012) </w:t>
      </w:r>
      <w:r w:rsidR="009F219B" w:rsidRPr="00DF586A">
        <w:rPr>
          <w:i/>
          <w:sz w:val="22"/>
          <w:szCs w:val="22"/>
        </w:rPr>
        <w:t>Guardianship Final Report</w:t>
      </w:r>
      <w:r w:rsidR="009F219B" w:rsidRPr="00DF586A">
        <w:rPr>
          <w:sz w:val="22"/>
          <w:szCs w:val="22"/>
        </w:rPr>
        <w:t xml:space="preserve"> </w:t>
      </w:r>
      <w:hyperlink r:id="rId19" w:history="1">
        <w:r w:rsidR="009F219B" w:rsidRPr="00DF586A">
          <w:rPr>
            <w:rStyle w:val="Hyperlink"/>
            <w:sz w:val="22"/>
            <w:szCs w:val="22"/>
          </w:rPr>
          <w:t>http://www.lawreform.vic.gov.au/sites/ default/files/Guardianship_FinalReport_Full%20text.pdf</w:t>
        </w:r>
      </w:hyperlink>
      <w:r w:rsidR="009F219B" w:rsidRPr="00DF586A">
        <w:rPr>
          <w:sz w:val="22"/>
          <w:szCs w:val="22"/>
        </w:rPr>
        <w:t>.</w:t>
      </w:r>
    </w:p>
  </w:footnote>
  <w:footnote w:id="38">
    <w:p w:rsidR="0057201C" w:rsidRPr="00DF586A" w:rsidRDefault="0057201C">
      <w:pPr>
        <w:pStyle w:val="FootnoteText"/>
        <w:rPr>
          <w:sz w:val="22"/>
          <w:szCs w:val="22"/>
          <w:lang w:val="en-US"/>
        </w:rPr>
      </w:pPr>
      <w:r w:rsidRPr="00DF586A">
        <w:rPr>
          <w:rStyle w:val="FootnoteReference"/>
          <w:sz w:val="22"/>
          <w:szCs w:val="22"/>
        </w:rPr>
        <w:footnoteRef/>
      </w:r>
      <w:r w:rsidRPr="00DF586A">
        <w:rPr>
          <w:sz w:val="22"/>
          <w:szCs w:val="22"/>
        </w:rPr>
        <w:t xml:space="preserve"> </w:t>
      </w:r>
      <w:r w:rsidRPr="00DF586A">
        <w:rPr>
          <w:sz w:val="22"/>
          <w:szCs w:val="22"/>
          <w:lang w:val="en-US"/>
        </w:rPr>
        <w:t>Ibid.</w:t>
      </w:r>
    </w:p>
  </w:footnote>
  <w:footnote w:id="39">
    <w:p w:rsidR="0057201C" w:rsidRPr="00C17276" w:rsidRDefault="0057201C" w:rsidP="00B047F3">
      <w:pPr>
        <w:pStyle w:val="FootnoteText"/>
        <w:rPr>
          <w:sz w:val="22"/>
          <w:szCs w:val="22"/>
          <w:lang w:val="en-US"/>
        </w:rPr>
      </w:pPr>
      <w:r w:rsidRPr="00DF586A">
        <w:rPr>
          <w:rStyle w:val="FootnoteReference"/>
          <w:sz w:val="22"/>
          <w:szCs w:val="22"/>
        </w:rPr>
        <w:footnoteRef/>
      </w:r>
      <w:r w:rsidRPr="00DF586A">
        <w:rPr>
          <w:sz w:val="22"/>
          <w:szCs w:val="22"/>
        </w:rPr>
        <w:t xml:space="preserve"> </w:t>
      </w:r>
      <w:r w:rsidR="003523EB">
        <w:rPr>
          <w:sz w:val="22"/>
          <w:szCs w:val="22"/>
        </w:rPr>
        <w:t xml:space="preserve">Department of Family and Community Services Ageing, Disability and Home Care NSW (2009) </w:t>
      </w:r>
      <w:r w:rsidR="00C17276">
        <w:rPr>
          <w:i/>
          <w:sz w:val="22"/>
          <w:szCs w:val="22"/>
        </w:rPr>
        <w:t>Behaviour Support Policy and Practice Manual Part 1 and 2</w:t>
      </w:r>
      <w:r w:rsidR="00C17276">
        <w:rPr>
          <w:sz w:val="22"/>
          <w:szCs w:val="22"/>
        </w:rPr>
        <w:t xml:space="preserve"> </w:t>
      </w:r>
      <w:hyperlink w:history="1">
        <w:r w:rsidR="00C17276" w:rsidRPr="00407A6D">
          <w:rPr>
            <w:rStyle w:val="Hyperlink"/>
            <w:sz w:val="22"/>
            <w:szCs w:val="22"/>
          </w:rPr>
          <w:t>https://www.adhc.nsw.gov. au/sp/delivering_disability_services/behaviour_support_services/behaviour_support_policy_and_practice_manual</w:t>
        </w:r>
      </w:hyperlink>
      <w:r w:rsidR="00C17276">
        <w:rPr>
          <w:sz w:val="22"/>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01C" w:rsidRDefault="0057201C" w:rsidP="00CA2D8A">
    <w:pPr>
      <w:pStyle w:val="Header"/>
      <w:jc w:val="left"/>
    </w:pPr>
  </w:p>
  <w:p w:rsidR="0057201C" w:rsidRDefault="0057201C" w:rsidP="00CA2D8A">
    <w:pPr>
      <w:pStyle w:val="Header"/>
      <w:jc w:val="left"/>
    </w:pPr>
  </w:p>
  <w:p w:rsidR="0057201C" w:rsidRDefault="005720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01C" w:rsidRPr="00EA2674" w:rsidRDefault="0057201C">
    <w:pP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01C" w:rsidRPr="00874A08" w:rsidRDefault="0057201C" w:rsidP="001816CE">
    <w:pPr>
      <w:pStyle w:val="Header"/>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E05D88"/>
    <w:multiLevelType w:val="multilevel"/>
    <w:tmpl w:val="CF628496"/>
    <w:styleLink w:val="List16"/>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1">
    <w:nsid w:val="0FB96109"/>
    <w:multiLevelType w:val="multilevel"/>
    <w:tmpl w:val="DFC2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497A19"/>
    <w:multiLevelType w:val="multilevel"/>
    <w:tmpl w:val="E0EE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E011C7"/>
    <w:multiLevelType w:val="hybridMultilevel"/>
    <w:tmpl w:val="680CE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3F14590"/>
    <w:multiLevelType w:val="multilevel"/>
    <w:tmpl w:val="611612D8"/>
    <w:styleLink w:val="List31"/>
    <w:lvl w:ilvl="0">
      <w:start w:val="1"/>
      <w:numFmt w:val="bullet"/>
      <w:lvlText w:val=""/>
      <w:lvlJc w:val="left"/>
      <w:rPr>
        <w:rFonts w:ascii="Symbol" w:hAnsi="Symbol" w:hint="default"/>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nsid w:val="16D17755"/>
    <w:multiLevelType w:val="hybridMultilevel"/>
    <w:tmpl w:val="AF76D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C720B19"/>
    <w:multiLevelType w:val="multilevel"/>
    <w:tmpl w:val="3FC495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79" w:hanging="360"/>
      </w:pPr>
      <w:rPr>
        <w:rFonts w:hint="default"/>
      </w:rPr>
    </w:lvl>
    <w:lvl w:ilvl="2">
      <w:start w:val="1"/>
      <w:numFmt w:val="lowerLetter"/>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9812B1"/>
    <w:multiLevelType w:val="multilevel"/>
    <w:tmpl w:val="AA64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F791194"/>
    <w:multiLevelType w:val="hybridMultilevel"/>
    <w:tmpl w:val="32EA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315D057C"/>
    <w:multiLevelType w:val="multilevel"/>
    <w:tmpl w:val="438A7794"/>
    <w:styleLink w:val="List2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1">
    <w:nsid w:val="34696265"/>
    <w:multiLevelType w:val="hybridMultilevel"/>
    <w:tmpl w:val="EA960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BF557BC"/>
    <w:multiLevelType w:val="multilevel"/>
    <w:tmpl w:val="3FC495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37" w:hanging="360"/>
      </w:pPr>
      <w:rPr>
        <w:rFonts w:hint="default"/>
      </w:rPr>
    </w:lvl>
    <w:lvl w:ilvl="2">
      <w:start w:val="1"/>
      <w:numFmt w:val="lowerLetter"/>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CF054A1"/>
    <w:multiLevelType w:val="multilevel"/>
    <w:tmpl w:val="C26E7064"/>
    <w:styleLink w:val="List17"/>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6">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549364C2"/>
    <w:multiLevelType w:val="hybridMultilevel"/>
    <w:tmpl w:val="C77EC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5A01384"/>
    <w:multiLevelType w:val="multilevel"/>
    <w:tmpl w:val="3FC495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79" w:hanging="360"/>
      </w:pPr>
      <w:rPr>
        <w:rFonts w:hint="default"/>
      </w:rPr>
    </w:lvl>
    <w:lvl w:ilvl="2">
      <w:start w:val="1"/>
      <w:numFmt w:val="lowerLetter"/>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4A09B7"/>
    <w:multiLevelType w:val="hybridMultilevel"/>
    <w:tmpl w:val="C958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B45EC2"/>
    <w:multiLevelType w:val="multilevel"/>
    <w:tmpl w:val="2AF4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A04598"/>
    <w:multiLevelType w:val="multilevel"/>
    <w:tmpl w:val="A114EDAC"/>
    <w:styleLink w:val="List51"/>
    <w:lvl w:ilvl="0">
      <w:start w:val="1"/>
      <w:numFmt w:val="bullet"/>
      <w:lvlText w:val=""/>
      <w:lvlJc w:val="left"/>
      <w:rPr>
        <w:rFonts w:ascii="Symbol" w:hAnsi="Symbol" w:hint="default"/>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2">
    <w:nsid w:val="59A42FC8"/>
    <w:multiLevelType w:val="multilevel"/>
    <w:tmpl w:val="345C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547CBD"/>
    <w:multiLevelType w:val="multilevel"/>
    <w:tmpl w:val="B1CA2138"/>
    <w:styleLink w:val="List6"/>
    <w:lvl w:ilvl="0">
      <w:start w:val="1"/>
      <w:numFmt w:val="bullet"/>
      <w:lvlText w:val=""/>
      <w:lvlJc w:val="left"/>
      <w:rPr>
        <w:rFonts w:ascii="Symbol" w:hAnsi="Symbol" w:hint="default"/>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4">
    <w:nsid w:val="5DDA4388"/>
    <w:multiLevelType w:val="multilevel"/>
    <w:tmpl w:val="131C6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AD6A7C"/>
    <w:multiLevelType w:val="hybridMultilevel"/>
    <w:tmpl w:val="5F049FDA"/>
    <w:lvl w:ilvl="0" w:tplc="EED648F4">
      <w:start w:val="1"/>
      <w:numFmt w:val="lowerLetter"/>
      <w:lvlText w:val="(%1)"/>
      <w:lvlJc w:val="left"/>
      <w:pPr>
        <w:ind w:left="720" w:hanging="360"/>
      </w:pPr>
      <w:rPr>
        <w:rFonts w:ascii="Arial" w:eastAsia="Meiryo" w:hAnsi="Arial" w:cs="Times New Roman"/>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856730"/>
    <w:multiLevelType w:val="multilevel"/>
    <w:tmpl w:val="71F429C0"/>
    <w:styleLink w:val="List41"/>
    <w:lvl w:ilvl="0">
      <w:start w:val="1"/>
      <w:numFmt w:val="bullet"/>
      <w:lvlText w:val="•"/>
      <w:lvlJc w:val="left"/>
      <w:rPr>
        <w:rFonts w:ascii="Arial" w:eastAsia="Arial" w:hAnsi="Arial" w:cs="Arial"/>
        <w:position w:val="0"/>
      </w:rPr>
    </w:lvl>
    <w:lvl w:ilvl="1">
      <w:start w:val="1"/>
      <w:numFmt w:val="bullet"/>
      <w:lvlText w:val="o"/>
      <w:lvlJc w:val="left"/>
      <w:rPr>
        <w:rFonts w:ascii="Courier New" w:hAnsi="Courier New" w:cs="Courier New" w:hint="default"/>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7">
    <w:nsid w:val="660F1DEC"/>
    <w:multiLevelType w:val="multilevel"/>
    <w:tmpl w:val="180E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9056C6"/>
    <w:multiLevelType w:val="hybridMultilevel"/>
    <w:tmpl w:val="8A6E3CD4"/>
    <w:lvl w:ilvl="0" w:tplc="3BF6B4D0">
      <w:start w:val="12"/>
      <w:numFmt w:val="bullet"/>
      <w:lvlText w:val="-"/>
      <w:lvlJc w:val="left"/>
      <w:pPr>
        <w:ind w:left="1632" w:hanging="360"/>
      </w:pPr>
      <w:rPr>
        <w:rFonts w:ascii="Calibri" w:eastAsia="Times New Roman" w:hAnsi="Calibri" w:hint="default"/>
      </w:rPr>
    </w:lvl>
    <w:lvl w:ilvl="1" w:tplc="04090003" w:tentative="1">
      <w:start w:val="1"/>
      <w:numFmt w:val="bullet"/>
      <w:lvlText w:val="o"/>
      <w:lvlJc w:val="left"/>
      <w:pPr>
        <w:ind w:left="2145" w:hanging="360"/>
      </w:pPr>
      <w:rPr>
        <w:rFonts w:ascii="Courier New" w:hAnsi="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9">
    <w:nsid w:val="701114EA"/>
    <w:multiLevelType w:val="hybridMultilevel"/>
    <w:tmpl w:val="1CB47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84E1C16"/>
    <w:multiLevelType w:val="multilevel"/>
    <w:tmpl w:val="67BC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435BF9"/>
    <w:multiLevelType w:val="hybridMultilevel"/>
    <w:tmpl w:val="388CA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6"/>
  </w:num>
  <w:num w:numId="12">
    <w:abstractNumId w:val="23"/>
  </w:num>
  <w:num w:numId="13">
    <w:abstractNumId w:val="19"/>
  </w:num>
  <w:num w:numId="14">
    <w:abstractNumId w:val="24"/>
  </w:num>
  <w:num w:numId="15">
    <w:abstractNumId w:val="16"/>
  </w:num>
  <w:num w:numId="16">
    <w:abstractNumId w:val="32"/>
  </w:num>
  <w:num w:numId="17">
    <w:abstractNumId w:val="10"/>
  </w:num>
  <w:num w:numId="18">
    <w:abstractNumId w:val="25"/>
  </w:num>
  <w:num w:numId="19">
    <w:abstractNumId w:val="20"/>
  </w:num>
  <w:num w:numId="20">
    <w:abstractNumId w:val="14"/>
  </w:num>
  <w:num w:numId="21">
    <w:abstractNumId w:val="36"/>
  </w:num>
  <w:num w:numId="22">
    <w:abstractNumId w:val="31"/>
  </w:num>
  <w:num w:numId="23">
    <w:abstractNumId w:val="33"/>
  </w:num>
  <w:num w:numId="24">
    <w:abstractNumId w:val="40"/>
  </w:num>
  <w:num w:numId="25">
    <w:abstractNumId w:val="30"/>
  </w:num>
  <w:num w:numId="26">
    <w:abstractNumId w:val="11"/>
  </w:num>
  <w:num w:numId="27">
    <w:abstractNumId w:val="17"/>
  </w:num>
  <w:num w:numId="28">
    <w:abstractNumId w:val="34"/>
  </w:num>
  <w:num w:numId="29">
    <w:abstractNumId w:val="12"/>
  </w:num>
  <w:num w:numId="30">
    <w:abstractNumId w:val="38"/>
  </w:num>
  <w:num w:numId="31">
    <w:abstractNumId w:val="18"/>
  </w:num>
  <w:num w:numId="32">
    <w:abstractNumId w:val="29"/>
  </w:num>
  <w:num w:numId="33">
    <w:abstractNumId w:val="37"/>
  </w:num>
  <w:num w:numId="34">
    <w:abstractNumId w:val="22"/>
  </w:num>
  <w:num w:numId="35">
    <w:abstractNumId w:val="28"/>
  </w:num>
  <w:num w:numId="36">
    <w:abstractNumId w:val="39"/>
  </w:num>
  <w:num w:numId="37">
    <w:abstractNumId w:val="27"/>
  </w:num>
  <w:num w:numId="38">
    <w:abstractNumId w:val="35"/>
  </w:num>
  <w:num w:numId="39">
    <w:abstractNumId w:val="13"/>
  </w:num>
  <w:num w:numId="40">
    <w:abstractNumId w:val="21"/>
  </w:num>
  <w:num w:numId="41">
    <w:abstractNumId w:val="41"/>
  </w:num>
  <w:num w:numId="42">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6CE"/>
    <w:rsid w:val="0000001B"/>
    <w:rsid w:val="000008EE"/>
    <w:rsid w:val="0000220F"/>
    <w:rsid w:val="00002BD1"/>
    <w:rsid w:val="000047F2"/>
    <w:rsid w:val="0000711B"/>
    <w:rsid w:val="0001029F"/>
    <w:rsid w:val="0001254B"/>
    <w:rsid w:val="00012973"/>
    <w:rsid w:val="00013272"/>
    <w:rsid w:val="00015177"/>
    <w:rsid w:val="0001558E"/>
    <w:rsid w:val="000163B7"/>
    <w:rsid w:val="0001759B"/>
    <w:rsid w:val="000208E5"/>
    <w:rsid w:val="00021134"/>
    <w:rsid w:val="000216A6"/>
    <w:rsid w:val="000219AC"/>
    <w:rsid w:val="00021DE9"/>
    <w:rsid w:val="00022C79"/>
    <w:rsid w:val="00023D4E"/>
    <w:rsid w:val="000249EE"/>
    <w:rsid w:val="000255D5"/>
    <w:rsid w:val="00026997"/>
    <w:rsid w:val="00027160"/>
    <w:rsid w:val="000276E7"/>
    <w:rsid w:val="00031F29"/>
    <w:rsid w:val="0003260C"/>
    <w:rsid w:val="0003297A"/>
    <w:rsid w:val="000336FF"/>
    <w:rsid w:val="00034C93"/>
    <w:rsid w:val="00041C1B"/>
    <w:rsid w:val="00042FA7"/>
    <w:rsid w:val="000430E9"/>
    <w:rsid w:val="0004492D"/>
    <w:rsid w:val="00045BC7"/>
    <w:rsid w:val="00051F73"/>
    <w:rsid w:val="00052D3D"/>
    <w:rsid w:val="000540A0"/>
    <w:rsid w:val="000542B9"/>
    <w:rsid w:val="000579B1"/>
    <w:rsid w:val="00061380"/>
    <w:rsid w:val="00062ABB"/>
    <w:rsid w:val="00063113"/>
    <w:rsid w:val="00063AF5"/>
    <w:rsid w:val="00073967"/>
    <w:rsid w:val="00073987"/>
    <w:rsid w:val="0007429A"/>
    <w:rsid w:val="00074750"/>
    <w:rsid w:val="00074CD6"/>
    <w:rsid w:val="000758B1"/>
    <w:rsid w:val="00076741"/>
    <w:rsid w:val="00081157"/>
    <w:rsid w:val="0008195F"/>
    <w:rsid w:val="0008286A"/>
    <w:rsid w:val="00082C26"/>
    <w:rsid w:val="000830A9"/>
    <w:rsid w:val="00084FC8"/>
    <w:rsid w:val="000863D1"/>
    <w:rsid w:val="0008668A"/>
    <w:rsid w:val="00087F9C"/>
    <w:rsid w:val="00090683"/>
    <w:rsid w:val="00091CE6"/>
    <w:rsid w:val="000922FF"/>
    <w:rsid w:val="000937F1"/>
    <w:rsid w:val="000A0CE6"/>
    <w:rsid w:val="000A20D5"/>
    <w:rsid w:val="000A46EB"/>
    <w:rsid w:val="000A4CFF"/>
    <w:rsid w:val="000A7313"/>
    <w:rsid w:val="000A76AA"/>
    <w:rsid w:val="000B0A5D"/>
    <w:rsid w:val="000B3950"/>
    <w:rsid w:val="000B627F"/>
    <w:rsid w:val="000B6F8E"/>
    <w:rsid w:val="000C269E"/>
    <w:rsid w:val="000D4C4B"/>
    <w:rsid w:val="000E07C7"/>
    <w:rsid w:val="000E4432"/>
    <w:rsid w:val="000E451F"/>
    <w:rsid w:val="000E473F"/>
    <w:rsid w:val="000E5039"/>
    <w:rsid w:val="000E668B"/>
    <w:rsid w:val="000E7AEB"/>
    <w:rsid w:val="000F0743"/>
    <w:rsid w:val="000F1FB7"/>
    <w:rsid w:val="000F3365"/>
    <w:rsid w:val="001011C8"/>
    <w:rsid w:val="00101558"/>
    <w:rsid w:val="00101998"/>
    <w:rsid w:val="0010258A"/>
    <w:rsid w:val="00104AA9"/>
    <w:rsid w:val="00104E6E"/>
    <w:rsid w:val="00106D7A"/>
    <w:rsid w:val="00106F7E"/>
    <w:rsid w:val="00107D1B"/>
    <w:rsid w:val="001104AF"/>
    <w:rsid w:val="001108F2"/>
    <w:rsid w:val="00112441"/>
    <w:rsid w:val="001139D5"/>
    <w:rsid w:val="001155D9"/>
    <w:rsid w:val="00121739"/>
    <w:rsid w:val="00122881"/>
    <w:rsid w:val="001243D2"/>
    <w:rsid w:val="001243D4"/>
    <w:rsid w:val="00125D3D"/>
    <w:rsid w:val="0012602C"/>
    <w:rsid w:val="00131CC0"/>
    <w:rsid w:val="0013212D"/>
    <w:rsid w:val="00132462"/>
    <w:rsid w:val="00133A8C"/>
    <w:rsid w:val="0013497D"/>
    <w:rsid w:val="00135799"/>
    <w:rsid w:val="00137C41"/>
    <w:rsid w:val="00140077"/>
    <w:rsid w:val="001437A0"/>
    <w:rsid w:val="00143A9F"/>
    <w:rsid w:val="00144A4A"/>
    <w:rsid w:val="00144B6F"/>
    <w:rsid w:val="001451C9"/>
    <w:rsid w:val="0014673F"/>
    <w:rsid w:val="001513B6"/>
    <w:rsid w:val="001523D8"/>
    <w:rsid w:val="001566D4"/>
    <w:rsid w:val="00156AAE"/>
    <w:rsid w:val="0016042D"/>
    <w:rsid w:val="0016134B"/>
    <w:rsid w:val="001628FA"/>
    <w:rsid w:val="00162A8D"/>
    <w:rsid w:val="00163836"/>
    <w:rsid w:val="00163AFC"/>
    <w:rsid w:val="0016686E"/>
    <w:rsid w:val="00171C28"/>
    <w:rsid w:val="0017312B"/>
    <w:rsid w:val="001735F1"/>
    <w:rsid w:val="001742BB"/>
    <w:rsid w:val="00174FE9"/>
    <w:rsid w:val="00175A10"/>
    <w:rsid w:val="00175BD3"/>
    <w:rsid w:val="00175EA6"/>
    <w:rsid w:val="00176471"/>
    <w:rsid w:val="00176578"/>
    <w:rsid w:val="00177F57"/>
    <w:rsid w:val="001816CE"/>
    <w:rsid w:val="00183B12"/>
    <w:rsid w:val="00184098"/>
    <w:rsid w:val="001867A2"/>
    <w:rsid w:val="001913B5"/>
    <w:rsid w:val="00191C12"/>
    <w:rsid w:val="00191D2E"/>
    <w:rsid w:val="00193519"/>
    <w:rsid w:val="00195330"/>
    <w:rsid w:val="00196BF7"/>
    <w:rsid w:val="001A0E76"/>
    <w:rsid w:val="001A20FD"/>
    <w:rsid w:val="001A2B03"/>
    <w:rsid w:val="001A5D46"/>
    <w:rsid w:val="001A6EFD"/>
    <w:rsid w:val="001B0353"/>
    <w:rsid w:val="001B04C1"/>
    <w:rsid w:val="001B0678"/>
    <w:rsid w:val="001B3F3A"/>
    <w:rsid w:val="001B40F9"/>
    <w:rsid w:val="001B41A0"/>
    <w:rsid w:val="001B487D"/>
    <w:rsid w:val="001C1119"/>
    <w:rsid w:val="001C139C"/>
    <w:rsid w:val="001C3532"/>
    <w:rsid w:val="001C3758"/>
    <w:rsid w:val="001C3A34"/>
    <w:rsid w:val="001C40D4"/>
    <w:rsid w:val="001C451B"/>
    <w:rsid w:val="001C55E3"/>
    <w:rsid w:val="001C5E80"/>
    <w:rsid w:val="001D18CD"/>
    <w:rsid w:val="001D2154"/>
    <w:rsid w:val="001D42D1"/>
    <w:rsid w:val="001D7859"/>
    <w:rsid w:val="001E2AC9"/>
    <w:rsid w:val="001E401E"/>
    <w:rsid w:val="001E496D"/>
    <w:rsid w:val="001E4B94"/>
    <w:rsid w:val="001E5005"/>
    <w:rsid w:val="001E5BCD"/>
    <w:rsid w:val="001F0EEF"/>
    <w:rsid w:val="001F2049"/>
    <w:rsid w:val="001F2BBB"/>
    <w:rsid w:val="001F4C21"/>
    <w:rsid w:val="001F51DD"/>
    <w:rsid w:val="0020225E"/>
    <w:rsid w:val="00204F7A"/>
    <w:rsid w:val="002059F4"/>
    <w:rsid w:val="00205D66"/>
    <w:rsid w:val="002067C0"/>
    <w:rsid w:val="0020759E"/>
    <w:rsid w:val="002100C4"/>
    <w:rsid w:val="00211892"/>
    <w:rsid w:val="00213A19"/>
    <w:rsid w:val="00215298"/>
    <w:rsid w:val="00215B1E"/>
    <w:rsid w:val="00216890"/>
    <w:rsid w:val="00216EF8"/>
    <w:rsid w:val="00217098"/>
    <w:rsid w:val="00220895"/>
    <w:rsid w:val="00224DA4"/>
    <w:rsid w:val="0022525D"/>
    <w:rsid w:val="00226038"/>
    <w:rsid w:val="00226C2D"/>
    <w:rsid w:val="00227BE3"/>
    <w:rsid w:val="00230D37"/>
    <w:rsid w:val="00231ED1"/>
    <w:rsid w:val="0023202D"/>
    <w:rsid w:val="00232E47"/>
    <w:rsid w:val="0023303F"/>
    <w:rsid w:val="00233D56"/>
    <w:rsid w:val="00235862"/>
    <w:rsid w:val="00236AA6"/>
    <w:rsid w:val="00237066"/>
    <w:rsid w:val="00237817"/>
    <w:rsid w:val="002404A6"/>
    <w:rsid w:val="0024092A"/>
    <w:rsid w:val="00241049"/>
    <w:rsid w:val="00241581"/>
    <w:rsid w:val="0024300C"/>
    <w:rsid w:val="0024557E"/>
    <w:rsid w:val="00247492"/>
    <w:rsid w:val="00247E89"/>
    <w:rsid w:val="00250976"/>
    <w:rsid w:val="00251F2E"/>
    <w:rsid w:val="00252A14"/>
    <w:rsid w:val="002531BB"/>
    <w:rsid w:val="00254900"/>
    <w:rsid w:val="0025528A"/>
    <w:rsid w:val="00255E04"/>
    <w:rsid w:val="00257ABB"/>
    <w:rsid w:val="002702D9"/>
    <w:rsid w:val="00270AF2"/>
    <w:rsid w:val="002711CB"/>
    <w:rsid w:val="00273C9F"/>
    <w:rsid w:val="0027402E"/>
    <w:rsid w:val="00276108"/>
    <w:rsid w:val="002762DE"/>
    <w:rsid w:val="00280AE2"/>
    <w:rsid w:val="0028180B"/>
    <w:rsid w:val="002818CB"/>
    <w:rsid w:val="00283A53"/>
    <w:rsid w:val="00283EC4"/>
    <w:rsid w:val="00284CF1"/>
    <w:rsid w:val="00285723"/>
    <w:rsid w:val="0029005B"/>
    <w:rsid w:val="00290195"/>
    <w:rsid w:val="00291A2B"/>
    <w:rsid w:val="0029268C"/>
    <w:rsid w:val="002935BF"/>
    <w:rsid w:val="00293843"/>
    <w:rsid w:val="002939F8"/>
    <w:rsid w:val="00294A77"/>
    <w:rsid w:val="00294C9E"/>
    <w:rsid w:val="002957A4"/>
    <w:rsid w:val="00296FB1"/>
    <w:rsid w:val="002A44BE"/>
    <w:rsid w:val="002A6593"/>
    <w:rsid w:val="002A6D4E"/>
    <w:rsid w:val="002A7331"/>
    <w:rsid w:val="002B018A"/>
    <w:rsid w:val="002B05B8"/>
    <w:rsid w:val="002B2BD7"/>
    <w:rsid w:val="002B50BD"/>
    <w:rsid w:val="002B59D8"/>
    <w:rsid w:val="002B5ADB"/>
    <w:rsid w:val="002C0611"/>
    <w:rsid w:val="002C0817"/>
    <w:rsid w:val="002C100B"/>
    <w:rsid w:val="002C7144"/>
    <w:rsid w:val="002C77EA"/>
    <w:rsid w:val="002D1A7F"/>
    <w:rsid w:val="002D1CC8"/>
    <w:rsid w:val="002D220D"/>
    <w:rsid w:val="002D32C2"/>
    <w:rsid w:val="002D5FFB"/>
    <w:rsid w:val="002E092E"/>
    <w:rsid w:val="002E1411"/>
    <w:rsid w:val="002E1A9D"/>
    <w:rsid w:val="002E6A8E"/>
    <w:rsid w:val="002F251C"/>
    <w:rsid w:val="002F2F1C"/>
    <w:rsid w:val="002F357C"/>
    <w:rsid w:val="002F38F4"/>
    <w:rsid w:val="002F59CB"/>
    <w:rsid w:val="00301099"/>
    <w:rsid w:val="00301BCA"/>
    <w:rsid w:val="0030277A"/>
    <w:rsid w:val="00302ABE"/>
    <w:rsid w:val="003040CA"/>
    <w:rsid w:val="00304445"/>
    <w:rsid w:val="00304E90"/>
    <w:rsid w:val="0030648A"/>
    <w:rsid w:val="00306841"/>
    <w:rsid w:val="00310ED4"/>
    <w:rsid w:val="0031243B"/>
    <w:rsid w:val="00313351"/>
    <w:rsid w:val="0031492A"/>
    <w:rsid w:val="00316504"/>
    <w:rsid w:val="00316C1A"/>
    <w:rsid w:val="003206A9"/>
    <w:rsid w:val="00321AF0"/>
    <w:rsid w:val="00324ABD"/>
    <w:rsid w:val="0032506F"/>
    <w:rsid w:val="00325AEF"/>
    <w:rsid w:val="00327D97"/>
    <w:rsid w:val="003306B8"/>
    <w:rsid w:val="00330DEB"/>
    <w:rsid w:val="00331236"/>
    <w:rsid w:val="00334CD7"/>
    <w:rsid w:val="00335601"/>
    <w:rsid w:val="00336202"/>
    <w:rsid w:val="00336E90"/>
    <w:rsid w:val="0034667B"/>
    <w:rsid w:val="0034688C"/>
    <w:rsid w:val="00346B1F"/>
    <w:rsid w:val="00346FC1"/>
    <w:rsid w:val="003508FE"/>
    <w:rsid w:val="00350A85"/>
    <w:rsid w:val="00350AD8"/>
    <w:rsid w:val="00350B66"/>
    <w:rsid w:val="003517FC"/>
    <w:rsid w:val="00351E23"/>
    <w:rsid w:val="003522A8"/>
    <w:rsid w:val="003523EB"/>
    <w:rsid w:val="00353AFE"/>
    <w:rsid w:val="00353F45"/>
    <w:rsid w:val="00355BF6"/>
    <w:rsid w:val="00355DCF"/>
    <w:rsid w:val="0035683B"/>
    <w:rsid w:val="003616B9"/>
    <w:rsid w:val="003626A4"/>
    <w:rsid w:val="00363C2C"/>
    <w:rsid w:val="00370F63"/>
    <w:rsid w:val="0037194D"/>
    <w:rsid w:val="003725C3"/>
    <w:rsid w:val="003726BA"/>
    <w:rsid w:val="003765BF"/>
    <w:rsid w:val="00377C8F"/>
    <w:rsid w:val="00382769"/>
    <w:rsid w:val="00385315"/>
    <w:rsid w:val="00386653"/>
    <w:rsid w:val="003872AA"/>
    <w:rsid w:val="00392F90"/>
    <w:rsid w:val="003931C7"/>
    <w:rsid w:val="003955AE"/>
    <w:rsid w:val="00395B21"/>
    <w:rsid w:val="00395B25"/>
    <w:rsid w:val="003960BB"/>
    <w:rsid w:val="00396F2A"/>
    <w:rsid w:val="003976B9"/>
    <w:rsid w:val="00397859"/>
    <w:rsid w:val="003A5064"/>
    <w:rsid w:val="003A533F"/>
    <w:rsid w:val="003A67CE"/>
    <w:rsid w:val="003A6E1D"/>
    <w:rsid w:val="003B18A7"/>
    <w:rsid w:val="003B1B4C"/>
    <w:rsid w:val="003B23BB"/>
    <w:rsid w:val="003B2BC5"/>
    <w:rsid w:val="003C2285"/>
    <w:rsid w:val="003C3B39"/>
    <w:rsid w:val="003C4CD2"/>
    <w:rsid w:val="003C4E69"/>
    <w:rsid w:val="003C4F96"/>
    <w:rsid w:val="003C6748"/>
    <w:rsid w:val="003D0398"/>
    <w:rsid w:val="003D06E4"/>
    <w:rsid w:val="003D0B61"/>
    <w:rsid w:val="003D3142"/>
    <w:rsid w:val="003D4C8F"/>
    <w:rsid w:val="003D6180"/>
    <w:rsid w:val="003E0A68"/>
    <w:rsid w:val="003E0F88"/>
    <w:rsid w:val="003E1A90"/>
    <w:rsid w:val="003E2ABF"/>
    <w:rsid w:val="003E2B7A"/>
    <w:rsid w:val="003E3F47"/>
    <w:rsid w:val="003E60A2"/>
    <w:rsid w:val="003E6B66"/>
    <w:rsid w:val="003E7B65"/>
    <w:rsid w:val="003F08D2"/>
    <w:rsid w:val="003F0CEE"/>
    <w:rsid w:val="003F245E"/>
    <w:rsid w:val="003F4615"/>
    <w:rsid w:val="003F4A07"/>
    <w:rsid w:val="003F50AE"/>
    <w:rsid w:val="003F5880"/>
    <w:rsid w:val="003F67A2"/>
    <w:rsid w:val="003F71E8"/>
    <w:rsid w:val="003F72E8"/>
    <w:rsid w:val="00401F78"/>
    <w:rsid w:val="0040242A"/>
    <w:rsid w:val="00402C50"/>
    <w:rsid w:val="00403601"/>
    <w:rsid w:val="0040378A"/>
    <w:rsid w:val="00403D7D"/>
    <w:rsid w:val="00404032"/>
    <w:rsid w:val="0040458A"/>
    <w:rsid w:val="00405580"/>
    <w:rsid w:val="004068AC"/>
    <w:rsid w:val="00407046"/>
    <w:rsid w:val="00411117"/>
    <w:rsid w:val="00411D86"/>
    <w:rsid w:val="00412228"/>
    <w:rsid w:val="004123F0"/>
    <w:rsid w:val="004158C5"/>
    <w:rsid w:val="00416595"/>
    <w:rsid w:val="00417840"/>
    <w:rsid w:val="00420DB8"/>
    <w:rsid w:val="00421420"/>
    <w:rsid w:val="004215B3"/>
    <w:rsid w:val="00421DF2"/>
    <w:rsid w:val="00422DBA"/>
    <w:rsid w:val="00424AD2"/>
    <w:rsid w:val="00424D0F"/>
    <w:rsid w:val="0042546F"/>
    <w:rsid w:val="00426854"/>
    <w:rsid w:val="00427D18"/>
    <w:rsid w:val="0043059D"/>
    <w:rsid w:val="00430951"/>
    <w:rsid w:val="0043128F"/>
    <w:rsid w:val="00431F22"/>
    <w:rsid w:val="004357C2"/>
    <w:rsid w:val="00435D72"/>
    <w:rsid w:val="00444303"/>
    <w:rsid w:val="00446C1A"/>
    <w:rsid w:val="00453BDF"/>
    <w:rsid w:val="00453D5B"/>
    <w:rsid w:val="00454242"/>
    <w:rsid w:val="00454337"/>
    <w:rsid w:val="00454537"/>
    <w:rsid w:val="004561BE"/>
    <w:rsid w:val="00456A09"/>
    <w:rsid w:val="00457B86"/>
    <w:rsid w:val="00457D18"/>
    <w:rsid w:val="00462C37"/>
    <w:rsid w:val="00462D4C"/>
    <w:rsid w:val="004666B8"/>
    <w:rsid w:val="0046695B"/>
    <w:rsid w:val="00467FE3"/>
    <w:rsid w:val="004724AF"/>
    <w:rsid w:val="0047300B"/>
    <w:rsid w:val="00473DB9"/>
    <w:rsid w:val="00474063"/>
    <w:rsid w:val="00476EEA"/>
    <w:rsid w:val="00482679"/>
    <w:rsid w:val="0048309C"/>
    <w:rsid w:val="004847E8"/>
    <w:rsid w:val="00484BC8"/>
    <w:rsid w:val="00491383"/>
    <w:rsid w:val="0049204E"/>
    <w:rsid w:val="00492F7F"/>
    <w:rsid w:val="004939B9"/>
    <w:rsid w:val="00493B51"/>
    <w:rsid w:val="00494919"/>
    <w:rsid w:val="00494D4B"/>
    <w:rsid w:val="00496CA8"/>
    <w:rsid w:val="004A278C"/>
    <w:rsid w:val="004A3DF9"/>
    <w:rsid w:val="004A46CE"/>
    <w:rsid w:val="004A722D"/>
    <w:rsid w:val="004A76B1"/>
    <w:rsid w:val="004B00C8"/>
    <w:rsid w:val="004B3D82"/>
    <w:rsid w:val="004B46C8"/>
    <w:rsid w:val="004B5FD9"/>
    <w:rsid w:val="004B62E7"/>
    <w:rsid w:val="004B6789"/>
    <w:rsid w:val="004B6E0D"/>
    <w:rsid w:val="004C0B78"/>
    <w:rsid w:val="004C0BEA"/>
    <w:rsid w:val="004C14F8"/>
    <w:rsid w:val="004C53C8"/>
    <w:rsid w:val="004D08F4"/>
    <w:rsid w:val="004D0F6B"/>
    <w:rsid w:val="004D1DE1"/>
    <w:rsid w:val="004D2485"/>
    <w:rsid w:val="004D4229"/>
    <w:rsid w:val="004D6361"/>
    <w:rsid w:val="004D7879"/>
    <w:rsid w:val="004E2059"/>
    <w:rsid w:val="004E2EDA"/>
    <w:rsid w:val="004E45F0"/>
    <w:rsid w:val="004E5AC7"/>
    <w:rsid w:val="004F013F"/>
    <w:rsid w:val="004F05F3"/>
    <w:rsid w:val="004F1B1E"/>
    <w:rsid w:val="004F1B5E"/>
    <w:rsid w:val="004F2DC0"/>
    <w:rsid w:val="004F3115"/>
    <w:rsid w:val="004F3A80"/>
    <w:rsid w:val="004F5147"/>
    <w:rsid w:val="004F53EF"/>
    <w:rsid w:val="00500AD9"/>
    <w:rsid w:val="00502F67"/>
    <w:rsid w:val="00503E04"/>
    <w:rsid w:val="005041AD"/>
    <w:rsid w:val="00504B28"/>
    <w:rsid w:val="00507505"/>
    <w:rsid w:val="00510265"/>
    <w:rsid w:val="00510908"/>
    <w:rsid w:val="00511017"/>
    <w:rsid w:val="00513540"/>
    <w:rsid w:val="00514B5D"/>
    <w:rsid w:val="00522043"/>
    <w:rsid w:val="00522CED"/>
    <w:rsid w:val="00523260"/>
    <w:rsid w:val="00527E46"/>
    <w:rsid w:val="00534BD3"/>
    <w:rsid w:val="00534F79"/>
    <w:rsid w:val="0053776B"/>
    <w:rsid w:val="00541512"/>
    <w:rsid w:val="0054490B"/>
    <w:rsid w:val="005454E1"/>
    <w:rsid w:val="0054797A"/>
    <w:rsid w:val="0055128B"/>
    <w:rsid w:val="00551843"/>
    <w:rsid w:val="00551DDA"/>
    <w:rsid w:val="00554472"/>
    <w:rsid w:val="005546AC"/>
    <w:rsid w:val="00554C04"/>
    <w:rsid w:val="00555AE7"/>
    <w:rsid w:val="0056307B"/>
    <w:rsid w:val="00563BBC"/>
    <w:rsid w:val="00563E3F"/>
    <w:rsid w:val="00565DD1"/>
    <w:rsid w:val="0056681D"/>
    <w:rsid w:val="00566A81"/>
    <w:rsid w:val="00570210"/>
    <w:rsid w:val="0057157A"/>
    <w:rsid w:val="0057201C"/>
    <w:rsid w:val="00574518"/>
    <w:rsid w:val="00584848"/>
    <w:rsid w:val="005867D6"/>
    <w:rsid w:val="005873CE"/>
    <w:rsid w:val="00590D69"/>
    <w:rsid w:val="00594257"/>
    <w:rsid w:val="00596924"/>
    <w:rsid w:val="005A19AB"/>
    <w:rsid w:val="005A2F2E"/>
    <w:rsid w:val="005A32BE"/>
    <w:rsid w:val="005A35B3"/>
    <w:rsid w:val="005A37EA"/>
    <w:rsid w:val="005A44DE"/>
    <w:rsid w:val="005A51EF"/>
    <w:rsid w:val="005A6E8F"/>
    <w:rsid w:val="005B07C0"/>
    <w:rsid w:val="005B101A"/>
    <w:rsid w:val="005B26A3"/>
    <w:rsid w:val="005B2D96"/>
    <w:rsid w:val="005B622B"/>
    <w:rsid w:val="005B7515"/>
    <w:rsid w:val="005B79ED"/>
    <w:rsid w:val="005C0D14"/>
    <w:rsid w:val="005C1654"/>
    <w:rsid w:val="005C18A0"/>
    <w:rsid w:val="005C304E"/>
    <w:rsid w:val="005C4C1F"/>
    <w:rsid w:val="005C6AED"/>
    <w:rsid w:val="005C7300"/>
    <w:rsid w:val="005D01DE"/>
    <w:rsid w:val="005D04F4"/>
    <w:rsid w:val="005D1F34"/>
    <w:rsid w:val="005D31FB"/>
    <w:rsid w:val="005D37F0"/>
    <w:rsid w:val="005D57FE"/>
    <w:rsid w:val="005D6BF0"/>
    <w:rsid w:val="005D7D8C"/>
    <w:rsid w:val="005E05E3"/>
    <w:rsid w:val="005E6F5A"/>
    <w:rsid w:val="005E76BB"/>
    <w:rsid w:val="005F0DDE"/>
    <w:rsid w:val="005F1857"/>
    <w:rsid w:val="005F1D64"/>
    <w:rsid w:val="005F3EFF"/>
    <w:rsid w:val="005F4B1A"/>
    <w:rsid w:val="005F53E3"/>
    <w:rsid w:val="005F5619"/>
    <w:rsid w:val="005F5F45"/>
    <w:rsid w:val="00601E7E"/>
    <w:rsid w:val="00601F68"/>
    <w:rsid w:val="00602716"/>
    <w:rsid w:val="00603417"/>
    <w:rsid w:val="00603992"/>
    <w:rsid w:val="006049AC"/>
    <w:rsid w:val="0060607B"/>
    <w:rsid w:val="006079CF"/>
    <w:rsid w:val="00611ED8"/>
    <w:rsid w:val="00613C0C"/>
    <w:rsid w:val="00614C22"/>
    <w:rsid w:val="00614EA1"/>
    <w:rsid w:val="0061710A"/>
    <w:rsid w:val="00622175"/>
    <w:rsid w:val="006225DA"/>
    <w:rsid w:val="00622ABF"/>
    <w:rsid w:val="006248E9"/>
    <w:rsid w:val="00624AEB"/>
    <w:rsid w:val="00624B22"/>
    <w:rsid w:val="0062521A"/>
    <w:rsid w:val="00626495"/>
    <w:rsid w:val="006300A8"/>
    <w:rsid w:val="0063097D"/>
    <w:rsid w:val="006354D4"/>
    <w:rsid w:val="006369D4"/>
    <w:rsid w:val="00640243"/>
    <w:rsid w:val="006410D3"/>
    <w:rsid w:val="006414E6"/>
    <w:rsid w:val="00646B8D"/>
    <w:rsid w:val="00646E3E"/>
    <w:rsid w:val="0065142C"/>
    <w:rsid w:val="00651501"/>
    <w:rsid w:val="0065242D"/>
    <w:rsid w:val="00654463"/>
    <w:rsid w:val="00656322"/>
    <w:rsid w:val="00656E33"/>
    <w:rsid w:val="006604F7"/>
    <w:rsid w:val="006610ED"/>
    <w:rsid w:val="00661F70"/>
    <w:rsid w:val="00663878"/>
    <w:rsid w:val="0066412E"/>
    <w:rsid w:val="00664166"/>
    <w:rsid w:val="00664797"/>
    <w:rsid w:val="00667387"/>
    <w:rsid w:val="006703A2"/>
    <w:rsid w:val="00670C38"/>
    <w:rsid w:val="0067142B"/>
    <w:rsid w:val="00671DF8"/>
    <w:rsid w:val="006744C0"/>
    <w:rsid w:val="00674CAA"/>
    <w:rsid w:val="00675E0C"/>
    <w:rsid w:val="006763C1"/>
    <w:rsid w:val="00676DC2"/>
    <w:rsid w:val="006771D5"/>
    <w:rsid w:val="006774EF"/>
    <w:rsid w:val="00681137"/>
    <w:rsid w:val="0068222A"/>
    <w:rsid w:val="00682A39"/>
    <w:rsid w:val="0068310C"/>
    <w:rsid w:val="0068329F"/>
    <w:rsid w:val="00683CC4"/>
    <w:rsid w:val="00685081"/>
    <w:rsid w:val="006857FD"/>
    <w:rsid w:val="00685BE9"/>
    <w:rsid w:val="0069001E"/>
    <w:rsid w:val="00690313"/>
    <w:rsid w:val="006904B5"/>
    <w:rsid w:val="0069107A"/>
    <w:rsid w:val="00691EDA"/>
    <w:rsid w:val="00694344"/>
    <w:rsid w:val="0069469F"/>
    <w:rsid w:val="00695880"/>
    <w:rsid w:val="00696390"/>
    <w:rsid w:val="006964A9"/>
    <w:rsid w:val="006964FB"/>
    <w:rsid w:val="006A1C85"/>
    <w:rsid w:val="006A2958"/>
    <w:rsid w:val="006A31A0"/>
    <w:rsid w:val="006A54CD"/>
    <w:rsid w:val="006A5DBC"/>
    <w:rsid w:val="006A6BB3"/>
    <w:rsid w:val="006A7214"/>
    <w:rsid w:val="006A776C"/>
    <w:rsid w:val="006B0267"/>
    <w:rsid w:val="006B03DC"/>
    <w:rsid w:val="006B150E"/>
    <w:rsid w:val="006B3680"/>
    <w:rsid w:val="006B38FF"/>
    <w:rsid w:val="006B3B68"/>
    <w:rsid w:val="006B3BBF"/>
    <w:rsid w:val="006C3B59"/>
    <w:rsid w:val="006C53E3"/>
    <w:rsid w:val="006C55B4"/>
    <w:rsid w:val="006C5F71"/>
    <w:rsid w:val="006D23D5"/>
    <w:rsid w:val="006D3121"/>
    <w:rsid w:val="006D35B0"/>
    <w:rsid w:val="006D5DCA"/>
    <w:rsid w:val="006D5E19"/>
    <w:rsid w:val="006D5EE5"/>
    <w:rsid w:val="006E06ED"/>
    <w:rsid w:val="006E06F5"/>
    <w:rsid w:val="006E1659"/>
    <w:rsid w:val="006E1CC9"/>
    <w:rsid w:val="006E1D57"/>
    <w:rsid w:val="006E2337"/>
    <w:rsid w:val="006E2B81"/>
    <w:rsid w:val="006E528E"/>
    <w:rsid w:val="006E60CB"/>
    <w:rsid w:val="006F1E16"/>
    <w:rsid w:val="006F33B3"/>
    <w:rsid w:val="006F34F1"/>
    <w:rsid w:val="006F3D41"/>
    <w:rsid w:val="006F5501"/>
    <w:rsid w:val="006F7418"/>
    <w:rsid w:val="00700F33"/>
    <w:rsid w:val="007015EC"/>
    <w:rsid w:val="00703447"/>
    <w:rsid w:val="007039FC"/>
    <w:rsid w:val="00704B17"/>
    <w:rsid w:val="00704DD3"/>
    <w:rsid w:val="00706FAB"/>
    <w:rsid w:val="00707793"/>
    <w:rsid w:val="00710341"/>
    <w:rsid w:val="00710D62"/>
    <w:rsid w:val="00714176"/>
    <w:rsid w:val="00715EE0"/>
    <w:rsid w:val="00716858"/>
    <w:rsid w:val="007169BB"/>
    <w:rsid w:val="00716E3D"/>
    <w:rsid w:val="00721D06"/>
    <w:rsid w:val="0072224E"/>
    <w:rsid w:val="007239A6"/>
    <w:rsid w:val="00723F87"/>
    <w:rsid w:val="007241AA"/>
    <w:rsid w:val="007245FA"/>
    <w:rsid w:val="00724677"/>
    <w:rsid w:val="00725D5E"/>
    <w:rsid w:val="00725F57"/>
    <w:rsid w:val="007271B6"/>
    <w:rsid w:val="00727B65"/>
    <w:rsid w:val="00731285"/>
    <w:rsid w:val="00731FAB"/>
    <w:rsid w:val="00734608"/>
    <w:rsid w:val="00735C28"/>
    <w:rsid w:val="0073737F"/>
    <w:rsid w:val="00741A28"/>
    <w:rsid w:val="00741A76"/>
    <w:rsid w:val="00741B70"/>
    <w:rsid w:val="00741CE5"/>
    <w:rsid w:val="00742055"/>
    <w:rsid w:val="00742A8B"/>
    <w:rsid w:val="0074360F"/>
    <w:rsid w:val="00743C7F"/>
    <w:rsid w:val="00744693"/>
    <w:rsid w:val="00744943"/>
    <w:rsid w:val="00746167"/>
    <w:rsid w:val="00746CB3"/>
    <w:rsid w:val="00752C42"/>
    <w:rsid w:val="00752F92"/>
    <w:rsid w:val="007546EF"/>
    <w:rsid w:val="007548CA"/>
    <w:rsid w:val="00754BF6"/>
    <w:rsid w:val="00754C12"/>
    <w:rsid w:val="007557EB"/>
    <w:rsid w:val="007560AD"/>
    <w:rsid w:val="007605A3"/>
    <w:rsid w:val="0076100F"/>
    <w:rsid w:val="00761299"/>
    <w:rsid w:val="0076242F"/>
    <w:rsid w:val="00764CE9"/>
    <w:rsid w:val="00770DCB"/>
    <w:rsid w:val="00771363"/>
    <w:rsid w:val="00773ABB"/>
    <w:rsid w:val="00773D73"/>
    <w:rsid w:val="00775485"/>
    <w:rsid w:val="0078013E"/>
    <w:rsid w:val="007823D0"/>
    <w:rsid w:val="00782D48"/>
    <w:rsid w:val="00783A93"/>
    <w:rsid w:val="007841E1"/>
    <w:rsid w:val="00786B4C"/>
    <w:rsid w:val="00787CB7"/>
    <w:rsid w:val="00787E48"/>
    <w:rsid w:val="007909CC"/>
    <w:rsid w:val="00793B6B"/>
    <w:rsid w:val="00794950"/>
    <w:rsid w:val="00794D0C"/>
    <w:rsid w:val="007968FB"/>
    <w:rsid w:val="007A0AB8"/>
    <w:rsid w:val="007A15F2"/>
    <w:rsid w:val="007A1DBF"/>
    <w:rsid w:val="007A380A"/>
    <w:rsid w:val="007A5F00"/>
    <w:rsid w:val="007A749C"/>
    <w:rsid w:val="007B15A1"/>
    <w:rsid w:val="007B2885"/>
    <w:rsid w:val="007B3B35"/>
    <w:rsid w:val="007B7A70"/>
    <w:rsid w:val="007B7AEE"/>
    <w:rsid w:val="007C00E9"/>
    <w:rsid w:val="007C038D"/>
    <w:rsid w:val="007C070E"/>
    <w:rsid w:val="007C2612"/>
    <w:rsid w:val="007C3A2B"/>
    <w:rsid w:val="007C7059"/>
    <w:rsid w:val="007C708B"/>
    <w:rsid w:val="007D0315"/>
    <w:rsid w:val="007D03B7"/>
    <w:rsid w:val="007D0993"/>
    <w:rsid w:val="007D237A"/>
    <w:rsid w:val="007D3C20"/>
    <w:rsid w:val="007D40BD"/>
    <w:rsid w:val="007D4E6B"/>
    <w:rsid w:val="007D6BA6"/>
    <w:rsid w:val="007D74D7"/>
    <w:rsid w:val="007E0C0E"/>
    <w:rsid w:val="007E1866"/>
    <w:rsid w:val="007E1B87"/>
    <w:rsid w:val="007E2D6C"/>
    <w:rsid w:val="007E4FE8"/>
    <w:rsid w:val="007E5126"/>
    <w:rsid w:val="007E5809"/>
    <w:rsid w:val="007E636E"/>
    <w:rsid w:val="007E6434"/>
    <w:rsid w:val="007E6C68"/>
    <w:rsid w:val="007F0DC7"/>
    <w:rsid w:val="007F32FA"/>
    <w:rsid w:val="007F467F"/>
    <w:rsid w:val="007F4A76"/>
    <w:rsid w:val="007F57BD"/>
    <w:rsid w:val="007F607B"/>
    <w:rsid w:val="007F629D"/>
    <w:rsid w:val="007F7D83"/>
    <w:rsid w:val="008004FE"/>
    <w:rsid w:val="00801DAB"/>
    <w:rsid w:val="0080349E"/>
    <w:rsid w:val="00804EDA"/>
    <w:rsid w:val="008100CC"/>
    <w:rsid w:val="00810ABF"/>
    <w:rsid w:val="00810AD7"/>
    <w:rsid w:val="008125EE"/>
    <w:rsid w:val="008127E7"/>
    <w:rsid w:val="00812D56"/>
    <w:rsid w:val="008136D8"/>
    <w:rsid w:val="008137AE"/>
    <w:rsid w:val="008137D3"/>
    <w:rsid w:val="00814FC2"/>
    <w:rsid w:val="00815958"/>
    <w:rsid w:val="00816835"/>
    <w:rsid w:val="00816DB6"/>
    <w:rsid w:val="0082096A"/>
    <w:rsid w:val="0082183C"/>
    <w:rsid w:val="00822F6F"/>
    <w:rsid w:val="00823A69"/>
    <w:rsid w:val="0082410F"/>
    <w:rsid w:val="0082579E"/>
    <w:rsid w:val="00825C9F"/>
    <w:rsid w:val="00826EFC"/>
    <w:rsid w:val="00826F71"/>
    <w:rsid w:val="0082768D"/>
    <w:rsid w:val="008312F7"/>
    <w:rsid w:val="00831C50"/>
    <w:rsid w:val="0083209A"/>
    <w:rsid w:val="008326CA"/>
    <w:rsid w:val="00833678"/>
    <w:rsid w:val="00834D45"/>
    <w:rsid w:val="00835115"/>
    <w:rsid w:val="00840ACF"/>
    <w:rsid w:val="008438DE"/>
    <w:rsid w:val="008453F2"/>
    <w:rsid w:val="008455CB"/>
    <w:rsid w:val="008455CD"/>
    <w:rsid w:val="008460B6"/>
    <w:rsid w:val="0084669B"/>
    <w:rsid w:val="008475FC"/>
    <w:rsid w:val="00851EAA"/>
    <w:rsid w:val="00851FE4"/>
    <w:rsid w:val="00852EB6"/>
    <w:rsid w:val="00853ED3"/>
    <w:rsid w:val="0085429A"/>
    <w:rsid w:val="008551F2"/>
    <w:rsid w:val="00855919"/>
    <w:rsid w:val="008560D7"/>
    <w:rsid w:val="00857DBB"/>
    <w:rsid w:val="00857DD2"/>
    <w:rsid w:val="00862642"/>
    <w:rsid w:val="00862834"/>
    <w:rsid w:val="00863A93"/>
    <w:rsid w:val="00864457"/>
    <w:rsid w:val="0086538E"/>
    <w:rsid w:val="00865E2D"/>
    <w:rsid w:val="008660E1"/>
    <w:rsid w:val="00866130"/>
    <w:rsid w:val="00866836"/>
    <w:rsid w:val="00866B2E"/>
    <w:rsid w:val="00867095"/>
    <w:rsid w:val="008724DE"/>
    <w:rsid w:val="0087480C"/>
    <w:rsid w:val="00874A08"/>
    <w:rsid w:val="0088073D"/>
    <w:rsid w:val="0088266F"/>
    <w:rsid w:val="00882A43"/>
    <w:rsid w:val="00883649"/>
    <w:rsid w:val="0088555D"/>
    <w:rsid w:val="00890180"/>
    <w:rsid w:val="008904F4"/>
    <w:rsid w:val="00891D32"/>
    <w:rsid w:val="008925D7"/>
    <w:rsid w:val="00893CEA"/>
    <w:rsid w:val="00894054"/>
    <w:rsid w:val="00895156"/>
    <w:rsid w:val="008A0EF8"/>
    <w:rsid w:val="008A2AF7"/>
    <w:rsid w:val="008A3D57"/>
    <w:rsid w:val="008A47F6"/>
    <w:rsid w:val="008A4C1D"/>
    <w:rsid w:val="008A4F3F"/>
    <w:rsid w:val="008A545A"/>
    <w:rsid w:val="008A6DD7"/>
    <w:rsid w:val="008A7FE6"/>
    <w:rsid w:val="008B1EC5"/>
    <w:rsid w:val="008B4E5F"/>
    <w:rsid w:val="008B5015"/>
    <w:rsid w:val="008B7402"/>
    <w:rsid w:val="008C18A0"/>
    <w:rsid w:val="008C5543"/>
    <w:rsid w:val="008C5A42"/>
    <w:rsid w:val="008C66FC"/>
    <w:rsid w:val="008C74AE"/>
    <w:rsid w:val="008D4156"/>
    <w:rsid w:val="008D4192"/>
    <w:rsid w:val="008D4AD0"/>
    <w:rsid w:val="008D5B60"/>
    <w:rsid w:val="008D5DB5"/>
    <w:rsid w:val="008D6033"/>
    <w:rsid w:val="008D7147"/>
    <w:rsid w:val="008D752D"/>
    <w:rsid w:val="008D75E3"/>
    <w:rsid w:val="008E2FFE"/>
    <w:rsid w:val="008E3D5B"/>
    <w:rsid w:val="008E3D60"/>
    <w:rsid w:val="008E4639"/>
    <w:rsid w:val="008E761D"/>
    <w:rsid w:val="008F1020"/>
    <w:rsid w:val="008F1D97"/>
    <w:rsid w:val="008F42A4"/>
    <w:rsid w:val="008F5261"/>
    <w:rsid w:val="00900AD6"/>
    <w:rsid w:val="00900CB8"/>
    <w:rsid w:val="0090165F"/>
    <w:rsid w:val="00901D4A"/>
    <w:rsid w:val="00902AFA"/>
    <w:rsid w:val="0090319B"/>
    <w:rsid w:val="00904D54"/>
    <w:rsid w:val="0090544F"/>
    <w:rsid w:val="009056E4"/>
    <w:rsid w:val="00905AC1"/>
    <w:rsid w:val="009071F2"/>
    <w:rsid w:val="00907409"/>
    <w:rsid w:val="009101C8"/>
    <w:rsid w:val="009114DF"/>
    <w:rsid w:val="00911AA4"/>
    <w:rsid w:val="00912D5A"/>
    <w:rsid w:val="00913B88"/>
    <w:rsid w:val="00914A98"/>
    <w:rsid w:val="0091537C"/>
    <w:rsid w:val="00921CB7"/>
    <w:rsid w:val="009229D0"/>
    <w:rsid w:val="00922FCC"/>
    <w:rsid w:val="00923C4F"/>
    <w:rsid w:val="009244FC"/>
    <w:rsid w:val="0092721A"/>
    <w:rsid w:val="00935923"/>
    <w:rsid w:val="00936022"/>
    <w:rsid w:val="0093621B"/>
    <w:rsid w:val="00940819"/>
    <w:rsid w:val="00940C61"/>
    <w:rsid w:val="00940E7F"/>
    <w:rsid w:val="00940F4E"/>
    <w:rsid w:val="009417F9"/>
    <w:rsid w:val="009450B5"/>
    <w:rsid w:val="00945306"/>
    <w:rsid w:val="009467AB"/>
    <w:rsid w:val="00946CA2"/>
    <w:rsid w:val="009472C4"/>
    <w:rsid w:val="00947615"/>
    <w:rsid w:val="00950E88"/>
    <w:rsid w:val="00951B7F"/>
    <w:rsid w:val="009521B8"/>
    <w:rsid w:val="00953876"/>
    <w:rsid w:val="00953ED9"/>
    <w:rsid w:val="00954AD6"/>
    <w:rsid w:val="009606F8"/>
    <w:rsid w:val="00961629"/>
    <w:rsid w:val="009625B8"/>
    <w:rsid w:val="009634B7"/>
    <w:rsid w:val="009667FD"/>
    <w:rsid w:val="00966C2F"/>
    <w:rsid w:val="00970261"/>
    <w:rsid w:val="009711E7"/>
    <w:rsid w:val="00972016"/>
    <w:rsid w:val="00972D91"/>
    <w:rsid w:val="00973A5D"/>
    <w:rsid w:val="00973FFC"/>
    <w:rsid w:val="00974FE0"/>
    <w:rsid w:val="009751B9"/>
    <w:rsid w:val="009752E9"/>
    <w:rsid w:val="009756E2"/>
    <w:rsid w:val="009802F3"/>
    <w:rsid w:val="009810EB"/>
    <w:rsid w:val="009816E9"/>
    <w:rsid w:val="00981E92"/>
    <w:rsid w:val="009825A3"/>
    <w:rsid w:val="009847BA"/>
    <w:rsid w:val="009853A1"/>
    <w:rsid w:val="00985769"/>
    <w:rsid w:val="00985B19"/>
    <w:rsid w:val="00986DC7"/>
    <w:rsid w:val="0098723F"/>
    <w:rsid w:val="00990BDD"/>
    <w:rsid w:val="0099558D"/>
    <w:rsid w:val="009979F0"/>
    <w:rsid w:val="00997FA5"/>
    <w:rsid w:val="009A08C3"/>
    <w:rsid w:val="009A1E3C"/>
    <w:rsid w:val="009A273D"/>
    <w:rsid w:val="009A487E"/>
    <w:rsid w:val="009A4A0A"/>
    <w:rsid w:val="009A5753"/>
    <w:rsid w:val="009A73C3"/>
    <w:rsid w:val="009A74BE"/>
    <w:rsid w:val="009A7E58"/>
    <w:rsid w:val="009B0251"/>
    <w:rsid w:val="009B0670"/>
    <w:rsid w:val="009B16ED"/>
    <w:rsid w:val="009B1DFC"/>
    <w:rsid w:val="009B2203"/>
    <w:rsid w:val="009B2E53"/>
    <w:rsid w:val="009B7398"/>
    <w:rsid w:val="009B7474"/>
    <w:rsid w:val="009B75BD"/>
    <w:rsid w:val="009B7EFB"/>
    <w:rsid w:val="009C0023"/>
    <w:rsid w:val="009C1F11"/>
    <w:rsid w:val="009C2C4C"/>
    <w:rsid w:val="009C5423"/>
    <w:rsid w:val="009C5FB8"/>
    <w:rsid w:val="009C6A24"/>
    <w:rsid w:val="009C723E"/>
    <w:rsid w:val="009C7E3A"/>
    <w:rsid w:val="009C7E40"/>
    <w:rsid w:val="009D0261"/>
    <w:rsid w:val="009D2C30"/>
    <w:rsid w:val="009D4718"/>
    <w:rsid w:val="009D671C"/>
    <w:rsid w:val="009D7223"/>
    <w:rsid w:val="009E28EB"/>
    <w:rsid w:val="009E35D4"/>
    <w:rsid w:val="009E56DE"/>
    <w:rsid w:val="009E63D3"/>
    <w:rsid w:val="009E77CD"/>
    <w:rsid w:val="009E7E53"/>
    <w:rsid w:val="009E7FC4"/>
    <w:rsid w:val="009F0D82"/>
    <w:rsid w:val="009F1371"/>
    <w:rsid w:val="009F219B"/>
    <w:rsid w:val="009F24CB"/>
    <w:rsid w:val="009F2552"/>
    <w:rsid w:val="009F2880"/>
    <w:rsid w:val="009F45E4"/>
    <w:rsid w:val="009F4A99"/>
    <w:rsid w:val="009F4FA0"/>
    <w:rsid w:val="009F51D9"/>
    <w:rsid w:val="009F71ED"/>
    <w:rsid w:val="009F7AAC"/>
    <w:rsid w:val="00A006FA"/>
    <w:rsid w:val="00A014E6"/>
    <w:rsid w:val="00A01EE2"/>
    <w:rsid w:val="00A0254C"/>
    <w:rsid w:val="00A02F56"/>
    <w:rsid w:val="00A03288"/>
    <w:rsid w:val="00A0406E"/>
    <w:rsid w:val="00A05A4F"/>
    <w:rsid w:val="00A05BD5"/>
    <w:rsid w:val="00A05F93"/>
    <w:rsid w:val="00A06096"/>
    <w:rsid w:val="00A06AEF"/>
    <w:rsid w:val="00A06B8C"/>
    <w:rsid w:val="00A07347"/>
    <w:rsid w:val="00A11C1D"/>
    <w:rsid w:val="00A135CA"/>
    <w:rsid w:val="00A14639"/>
    <w:rsid w:val="00A15A3C"/>
    <w:rsid w:val="00A174D9"/>
    <w:rsid w:val="00A176A1"/>
    <w:rsid w:val="00A17982"/>
    <w:rsid w:val="00A21076"/>
    <w:rsid w:val="00A219AE"/>
    <w:rsid w:val="00A21EC4"/>
    <w:rsid w:val="00A23CB4"/>
    <w:rsid w:val="00A23FC5"/>
    <w:rsid w:val="00A249A5"/>
    <w:rsid w:val="00A24EC6"/>
    <w:rsid w:val="00A25C3B"/>
    <w:rsid w:val="00A2604B"/>
    <w:rsid w:val="00A26D67"/>
    <w:rsid w:val="00A3045A"/>
    <w:rsid w:val="00A30E8D"/>
    <w:rsid w:val="00A32CFD"/>
    <w:rsid w:val="00A3457E"/>
    <w:rsid w:val="00A3653A"/>
    <w:rsid w:val="00A401F1"/>
    <w:rsid w:val="00A403D0"/>
    <w:rsid w:val="00A41355"/>
    <w:rsid w:val="00A43B92"/>
    <w:rsid w:val="00A443D3"/>
    <w:rsid w:val="00A44720"/>
    <w:rsid w:val="00A4617F"/>
    <w:rsid w:val="00A52F65"/>
    <w:rsid w:val="00A541D0"/>
    <w:rsid w:val="00A54CE4"/>
    <w:rsid w:val="00A610B2"/>
    <w:rsid w:val="00A6179E"/>
    <w:rsid w:val="00A61D69"/>
    <w:rsid w:val="00A64D47"/>
    <w:rsid w:val="00A66F67"/>
    <w:rsid w:val="00A6739F"/>
    <w:rsid w:val="00A70812"/>
    <w:rsid w:val="00A72498"/>
    <w:rsid w:val="00A73B43"/>
    <w:rsid w:val="00A764CD"/>
    <w:rsid w:val="00A76AD0"/>
    <w:rsid w:val="00A775AB"/>
    <w:rsid w:val="00A815AF"/>
    <w:rsid w:val="00A827C5"/>
    <w:rsid w:val="00A82CAC"/>
    <w:rsid w:val="00A82DC0"/>
    <w:rsid w:val="00A83B64"/>
    <w:rsid w:val="00A84B01"/>
    <w:rsid w:val="00A90AAE"/>
    <w:rsid w:val="00A90C5F"/>
    <w:rsid w:val="00A90DB7"/>
    <w:rsid w:val="00A92D56"/>
    <w:rsid w:val="00AA2860"/>
    <w:rsid w:val="00AA5006"/>
    <w:rsid w:val="00AA7642"/>
    <w:rsid w:val="00AB1466"/>
    <w:rsid w:val="00AB3DF2"/>
    <w:rsid w:val="00AB4F0D"/>
    <w:rsid w:val="00AB5011"/>
    <w:rsid w:val="00AC0A9A"/>
    <w:rsid w:val="00AC0ED5"/>
    <w:rsid w:val="00AC1030"/>
    <w:rsid w:val="00AC27AB"/>
    <w:rsid w:val="00AC371A"/>
    <w:rsid w:val="00AC3EAA"/>
    <w:rsid w:val="00AC48DF"/>
    <w:rsid w:val="00AC56B8"/>
    <w:rsid w:val="00AC56CA"/>
    <w:rsid w:val="00AC6A34"/>
    <w:rsid w:val="00AD5822"/>
    <w:rsid w:val="00AD66AB"/>
    <w:rsid w:val="00AD7932"/>
    <w:rsid w:val="00AE0194"/>
    <w:rsid w:val="00AE60E3"/>
    <w:rsid w:val="00AE76EB"/>
    <w:rsid w:val="00AF37A7"/>
    <w:rsid w:val="00AF41A8"/>
    <w:rsid w:val="00AF6616"/>
    <w:rsid w:val="00AF69BA"/>
    <w:rsid w:val="00AF717D"/>
    <w:rsid w:val="00B047F3"/>
    <w:rsid w:val="00B049FB"/>
    <w:rsid w:val="00B055CC"/>
    <w:rsid w:val="00B072CE"/>
    <w:rsid w:val="00B07C8B"/>
    <w:rsid w:val="00B10B0B"/>
    <w:rsid w:val="00B10B6A"/>
    <w:rsid w:val="00B123B2"/>
    <w:rsid w:val="00B124D7"/>
    <w:rsid w:val="00B13D9C"/>
    <w:rsid w:val="00B1444E"/>
    <w:rsid w:val="00B15AB3"/>
    <w:rsid w:val="00B16F84"/>
    <w:rsid w:val="00B178E2"/>
    <w:rsid w:val="00B22190"/>
    <w:rsid w:val="00B22697"/>
    <w:rsid w:val="00B23662"/>
    <w:rsid w:val="00B24060"/>
    <w:rsid w:val="00B242E7"/>
    <w:rsid w:val="00B277E0"/>
    <w:rsid w:val="00B27B62"/>
    <w:rsid w:val="00B322FB"/>
    <w:rsid w:val="00B32B63"/>
    <w:rsid w:val="00B32F9A"/>
    <w:rsid w:val="00B364A8"/>
    <w:rsid w:val="00B40345"/>
    <w:rsid w:val="00B40820"/>
    <w:rsid w:val="00B40C83"/>
    <w:rsid w:val="00B41C68"/>
    <w:rsid w:val="00B430C9"/>
    <w:rsid w:val="00B435BA"/>
    <w:rsid w:val="00B469C0"/>
    <w:rsid w:val="00B50DD6"/>
    <w:rsid w:val="00B513C9"/>
    <w:rsid w:val="00B52280"/>
    <w:rsid w:val="00B52E2D"/>
    <w:rsid w:val="00B544EB"/>
    <w:rsid w:val="00B549F9"/>
    <w:rsid w:val="00B55007"/>
    <w:rsid w:val="00B556BF"/>
    <w:rsid w:val="00B60371"/>
    <w:rsid w:val="00B6071C"/>
    <w:rsid w:val="00B64390"/>
    <w:rsid w:val="00B67199"/>
    <w:rsid w:val="00B6746C"/>
    <w:rsid w:val="00B71425"/>
    <w:rsid w:val="00B7356E"/>
    <w:rsid w:val="00B75F78"/>
    <w:rsid w:val="00B76653"/>
    <w:rsid w:val="00B772CA"/>
    <w:rsid w:val="00B812BF"/>
    <w:rsid w:val="00B842C6"/>
    <w:rsid w:val="00B857E6"/>
    <w:rsid w:val="00B9086E"/>
    <w:rsid w:val="00B916D3"/>
    <w:rsid w:val="00B92032"/>
    <w:rsid w:val="00B92A9A"/>
    <w:rsid w:val="00B939AB"/>
    <w:rsid w:val="00B950B8"/>
    <w:rsid w:val="00B96AFC"/>
    <w:rsid w:val="00B97ACD"/>
    <w:rsid w:val="00B97E23"/>
    <w:rsid w:val="00B97EEA"/>
    <w:rsid w:val="00BA06CF"/>
    <w:rsid w:val="00BA0845"/>
    <w:rsid w:val="00BA1F21"/>
    <w:rsid w:val="00BA2182"/>
    <w:rsid w:val="00BA262D"/>
    <w:rsid w:val="00BA2DE2"/>
    <w:rsid w:val="00BA3F97"/>
    <w:rsid w:val="00BA51C8"/>
    <w:rsid w:val="00BA6D28"/>
    <w:rsid w:val="00BA79C9"/>
    <w:rsid w:val="00BA7C6C"/>
    <w:rsid w:val="00BB04EE"/>
    <w:rsid w:val="00BB090C"/>
    <w:rsid w:val="00BB0B25"/>
    <w:rsid w:val="00BB0C28"/>
    <w:rsid w:val="00BC0409"/>
    <w:rsid w:val="00BC2014"/>
    <w:rsid w:val="00BC20B8"/>
    <w:rsid w:val="00BC27AA"/>
    <w:rsid w:val="00BC5D1C"/>
    <w:rsid w:val="00BC6886"/>
    <w:rsid w:val="00BC79EB"/>
    <w:rsid w:val="00BD059D"/>
    <w:rsid w:val="00BD0AFE"/>
    <w:rsid w:val="00BD101D"/>
    <w:rsid w:val="00BD1B70"/>
    <w:rsid w:val="00BD27A0"/>
    <w:rsid w:val="00BD54AA"/>
    <w:rsid w:val="00BD5A4C"/>
    <w:rsid w:val="00BD5FED"/>
    <w:rsid w:val="00BE1B13"/>
    <w:rsid w:val="00BE3D38"/>
    <w:rsid w:val="00BE3E0C"/>
    <w:rsid w:val="00BE4102"/>
    <w:rsid w:val="00BE56A9"/>
    <w:rsid w:val="00BE6241"/>
    <w:rsid w:val="00BE7EDC"/>
    <w:rsid w:val="00BF0FBA"/>
    <w:rsid w:val="00BF2B38"/>
    <w:rsid w:val="00BF2B86"/>
    <w:rsid w:val="00BF31C5"/>
    <w:rsid w:val="00BF32E8"/>
    <w:rsid w:val="00BF3491"/>
    <w:rsid w:val="00BF3784"/>
    <w:rsid w:val="00BF5B2F"/>
    <w:rsid w:val="00BF5C64"/>
    <w:rsid w:val="00BF6DE3"/>
    <w:rsid w:val="00BF735C"/>
    <w:rsid w:val="00C02ADE"/>
    <w:rsid w:val="00C04F5C"/>
    <w:rsid w:val="00C05527"/>
    <w:rsid w:val="00C06B8E"/>
    <w:rsid w:val="00C06F52"/>
    <w:rsid w:val="00C076F2"/>
    <w:rsid w:val="00C1073E"/>
    <w:rsid w:val="00C13A4C"/>
    <w:rsid w:val="00C14EBF"/>
    <w:rsid w:val="00C15D2A"/>
    <w:rsid w:val="00C166CF"/>
    <w:rsid w:val="00C17276"/>
    <w:rsid w:val="00C176B9"/>
    <w:rsid w:val="00C20DD4"/>
    <w:rsid w:val="00C21133"/>
    <w:rsid w:val="00C23473"/>
    <w:rsid w:val="00C23EC1"/>
    <w:rsid w:val="00C2451D"/>
    <w:rsid w:val="00C247EB"/>
    <w:rsid w:val="00C25046"/>
    <w:rsid w:val="00C25BDA"/>
    <w:rsid w:val="00C30065"/>
    <w:rsid w:val="00C321A9"/>
    <w:rsid w:val="00C32CC8"/>
    <w:rsid w:val="00C32DF5"/>
    <w:rsid w:val="00C33A13"/>
    <w:rsid w:val="00C33FE4"/>
    <w:rsid w:val="00C36098"/>
    <w:rsid w:val="00C426D9"/>
    <w:rsid w:val="00C42A44"/>
    <w:rsid w:val="00C44C32"/>
    <w:rsid w:val="00C45883"/>
    <w:rsid w:val="00C4652E"/>
    <w:rsid w:val="00C46576"/>
    <w:rsid w:val="00C47784"/>
    <w:rsid w:val="00C47941"/>
    <w:rsid w:val="00C52A9A"/>
    <w:rsid w:val="00C52F2C"/>
    <w:rsid w:val="00C53971"/>
    <w:rsid w:val="00C53B78"/>
    <w:rsid w:val="00C54FB1"/>
    <w:rsid w:val="00C56091"/>
    <w:rsid w:val="00C57255"/>
    <w:rsid w:val="00C572B1"/>
    <w:rsid w:val="00C669EF"/>
    <w:rsid w:val="00C679F1"/>
    <w:rsid w:val="00C67BBB"/>
    <w:rsid w:val="00C70BF2"/>
    <w:rsid w:val="00C70FF1"/>
    <w:rsid w:val="00C72158"/>
    <w:rsid w:val="00C7526C"/>
    <w:rsid w:val="00C800C9"/>
    <w:rsid w:val="00C80F9F"/>
    <w:rsid w:val="00C84E41"/>
    <w:rsid w:val="00C86A13"/>
    <w:rsid w:val="00C86F4F"/>
    <w:rsid w:val="00C870C6"/>
    <w:rsid w:val="00C90302"/>
    <w:rsid w:val="00C90AA1"/>
    <w:rsid w:val="00C9361C"/>
    <w:rsid w:val="00C93ED2"/>
    <w:rsid w:val="00C94A18"/>
    <w:rsid w:val="00C94C0C"/>
    <w:rsid w:val="00C97C94"/>
    <w:rsid w:val="00CA0D78"/>
    <w:rsid w:val="00CA216B"/>
    <w:rsid w:val="00CA2D8A"/>
    <w:rsid w:val="00CA7641"/>
    <w:rsid w:val="00CB27A8"/>
    <w:rsid w:val="00CB30F7"/>
    <w:rsid w:val="00CB3275"/>
    <w:rsid w:val="00CB37CB"/>
    <w:rsid w:val="00CB3DD7"/>
    <w:rsid w:val="00CB4B2B"/>
    <w:rsid w:val="00CB6E9B"/>
    <w:rsid w:val="00CB72C4"/>
    <w:rsid w:val="00CC1D03"/>
    <w:rsid w:val="00CC2B9B"/>
    <w:rsid w:val="00CC711C"/>
    <w:rsid w:val="00CD3313"/>
    <w:rsid w:val="00CD41DC"/>
    <w:rsid w:val="00CE2E16"/>
    <w:rsid w:val="00CE53E2"/>
    <w:rsid w:val="00CE7182"/>
    <w:rsid w:val="00CE769D"/>
    <w:rsid w:val="00CF24CD"/>
    <w:rsid w:val="00CF2BC7"/>
    <w:rsid w:val="00CF36AA"/>
    <w:rsid w:val="00D046FE"/>
    <w:rsid w:val="00D06A29"/>
    <w:rsid w:val="00D074D5"/>
    <w:rsid w:val="00D0791A"/>
    <w:rsid w:val="00D103C1"/>
    <w:rsid w:val="00D11C63"/>
    <w:rsid w:val="00D13421"/>
    <w:rsid w:val="00D14E1E"/>
    <w:rsid w:val="00D16062"/>
    <w:rsid w:val="00D16094"/>
    <w:rsid w:val="00D17C04"/>
    <w:rsid w:val="00D216A4"/>
    <w:rsid w:val="00D21A98"/>
    <w:rsid w:val="00D21D4F"/>
    <w:rsid w:val="00D2243A"/>
    <w:rsid w:val="00D24CCA"/>
    <w:rsid w:val="00D26D66"/>
    <w:rsid w:val="00D27884"/>
    <w:rsid w:val="00D315DB"/>
    <w:rsid w:val="00D31627"/>
    <w:rsid w:val="00D324C4"/>
    <w:rsid w:val="00D36D90"/>
    <w:rsid w:val="00D40644"/>
    <w:rsid w:val="00D43FE9"/>
    <w:rsid w:val="00D444A3"/>
    <w:rsid w:val="00D44DC3"/>
    <w:rsid w:val="00D461F8"/>
    <w:rsid w:val="00D512C5"/>
    <w:rsid w:val="00D537E0"/>
    <w:rsid w:val="00D558FB"/>
    <w:rsid w:val="00D561E0"/>
    <w:rsid w:val="00D60518"/>
    <w:rsid w:val="00D60566"/>
    <w:rsid w:val="00D636CA"/>
    <w:rsid w:val="00D643FD"/>
    <w:rsid w:val="00D657D8"/>
    <w:rsid w:val="00D65C76"/>
    <w:rsid w:val="00D665DA"/>
    <w:rsid w:val="00D66883"/>
    <w:rsid w:val="00D67B38"/>
    <w:rsid w:val="00D7196D"/>
    <w:rsid w:val="00D71DB6"/>
    <w:rsid w:val="00D72C44"/>
    <w:rsid w:val="00D74ACC"/>
    <w:rsid w:val="00D75995"/>
    <w:rsid w:val="00D768D9"/>
    <w:rsid w:val="00D770B4"/>
    <w:rsid w:val="00D77DFF"/>
    <w:rsid w:val="00D80F4A"/>
    <w:rsid w:val="00D825FB"/>
    <w:rsid w:val="00D82D89"/>
    <w:rsid w:val="00D834F7"/>
    <w:rsid w:val="00D84AF1"/>
    <w:rsid w:val="00D85B34"/>
    <w:rsid w:val="00D86454"/>
    <w:rsid w:val="00D86681"/>
    <w:rsid w:val="00D91FE3"/>
    <w:rsid w:val="00D92993"/>
    <w:rsid w:val="00D9563D"/>
    <w:rsid w:val="00DA0160"/>
    <w:rsid w:val="00DA2C92"/>
    <w:rsid w:val="00DA2F73"/>
    <w:rsid w:val="00DA42E8"/>
    <w:rsid w:val="00DA4669"/>
    <w:rsid w:val="00DA7796"/>
    <w:rsid w:val="00DA7C23"/>
    <w:rsid w:val="00DB0976"/>
    <w:rsid w:val="00DB5020"/>
    <w:rsid w:val="00DC193F"/>
    <w:rsid w:val="00DC2540"/>
    <w:rsid w:val="00DC3C4F"/>
    <w:rsid w:val="00DC462F"/>
    <w:rsid w:val="00DC497F"/>
    <w:rsid w:val="00DC5CAD"/>
    <w:rsid w:val="00DC6341"/>
    <w:rsid w:val="00DC6AF3"/>
    <w:rsid w:val="00DC71A2"/>
    <w:rsid w:val="00DD0A7C"/>
    <w:rsid w:val="00DD0AE8"/>
    <w:rsid w:val="00DD15BE"/>
    <w:rsid w:val="00DD2B65"/>
    <w:rsid w:val="00DD55CB"/>
    <w:rsid w:val="00DD5D2F"/>
    <w:rsid w:val="00DD61F7"/>
    <w:rsid w:val="00DD6EF9"/>
    <w:rsid w:val="00DD71EA"/>
    <w:rsid w:val="00DE0633"/>
    <w:rsid w:val="00DE2817"/>
    <w:rsid w:val="00DE2F1B"/>
    <w:rsid w:val="00DE40B5"/>
    <w:rsid w:val="00DE51CB"/>
    <w:rsid w:val="00DF0943"/>
    <w:rsid w:val="00DF0DFE"/>
    <w:rsid w:val="00DF57BE"/>
    <w:rsid w:val="00DF586A"/>
    <w:rsid w:val="00DF5B7F"/>
    <w:rsid w:val="00DF72D1"/>
    <w:rsid w:val="00DF7E29"/>
    <w:rsid w:val="00E0040D"/>
    <w:rsid w:val="00E02276"/>
    <w:rsid w:val="00E04AF9"/>
    <w:rsid w:val="00E060FA"/>
    <w:rsid w:val="00E06783"/>
    <w:rsid w:val="00E06A2A"/>
    <w:rsid w:val="00E06D64"/>
    <w:rsid w:val="00E0774E"/>
    <w:rsid w:val="00E10E25"/>
    <w:rsid w:val="00E144F8"/>
    <w:rsid w:val="00E145DA"/>
    <w:rsid w:val="00E14C24"/>
    <w:rsid w:val="00E15435"/>
    <w:rsid w:val="00E156A8"/>
    <w:rsid w:val="00E15A0E"/>
    <w:rsid w:val="00E164FA"/>
    <w:rsid w:val="00E16F04"/>
    <w:rsid w:val="00E21551"/>
    <w:rsid w:val="00E21883"/>
    <w:rsid w:val="00E21BFE"/>
    <w:rsid w:val="00E22CD0"/>
    <w:rsid w:val="00E23ECF"/>
    <w:rsid w:val="00E243B3"/>
    <w:rsid w:val="00E24562"/>
    <w:rsid w:val="00E246FD"/>
    <w:rsid w:val="00E24FA3"/>
    <w:rsid w:val="00E3039E"/>
    <w:rsid w:val="00E307DF"/>
    <w:rsid w:val="00E328CD"/>
    <w:rsid w:val="00E33AEC"/>
    <w:rsid w:val="00E33F81"/>
    <w:rsid w:val="00E3661C"/>
    <w:rsid w:val="00E373A0"/>
    <w:rsid w:val="00E42566"/>
    <w:rsid w:val="00E44EB6"/>
    <w:rsid w:val="00E45954"/>
    <w:rsid w:val="00E5042B"/>
    <w:rsid w:val="00E50FAA"/>
    <w:rsid w:val="00E51870"/>
    <w:rsid w:val="00E526C1"/>
    <w:rsid w:val="00E526E9"/>
    <w:rsid w:val="00E53B1E"/>
    <w:rsid w:val="00E54CE5"/>
    <w:rsid w:val="00E54F7A"/>
    <w:rsid w:val="00E57270"/>
    <w:rsid w:val="00E578BD"/>
    <w:rsid w:val="00E57B7E"/>
    <w:rsid w:val="00E60C78"/>
    <w:rsid w:val="00E629FF"/>
    <w:rsid w:val="00E6587A"/>
    <w:rsid w:val="00E709AD"/>
    <w:rsid w:val="00E72A18"/>
    <w:rsid w:val="00E72FD4"/>
    <w:rsid w:val="00E730B6"/>
    <w:rsid w:val="00E74345"/>
    <w:rsid w:val="00E747CA"/>
    <w:rsid w:val="00E75D90"/>
    <w:rsid w:val="00E77D6F"/>
    <w:rsid w:val="00E80FCB"/>
    <w:rsid w:val="00E835AF"/>
    <w:rsid w:val="00E84ED9"/>
    <w:rsid w:val="00E850B0"/>
    <w:rsid w:val="00E86A42"/>
    <w:rsid w:val="00E8780C"/>
    <w:rsid w:val="00E87FF1"/>
    <w:rsid w:val="00E90BD3"/>
    <w:rsid w:val="00E915DA"/>
    <w:rsid w:val="00E91C22"/>
    <w:rsid w:val="00E93B4A"/>
    <w:rsid w:val="00E941EC"/>
    <w:rsid w:val="00E944F8"/>
    <w:rsid w:val="00E9460B"/>
    <w:rsid w:val="00E95B39"/>
    <w:rsid w:val="00E977CA"/>
    <w:rsid w:val="00E97EF8"/>
    <w:rsid w:val="00EA06C2"/>
    <w:rsid w:val="00EA128D"/>
    <w:rsid w:val="00EA2674"/>
    <w:rsid w:val="00EA3A04"/>
    <w:rsid w:val="00EA42B8"/>
    <w:rsid w:val="00EA7404"/>
    <w:rsid w:val="00EA7784"/>
    <w:rsid w:val="00EB1006"/>
    <w:rsid w:val="00EB364D"/>
    <w:rsid w:val="00EC086D"/>
    <w:rsid w:val="00EC29F9"/>
    <w:rsid w:val="00EC2C0C"/>
    <w:rsid w:val="00EC5AFF"/>
    <w:rsid w:val="00EC7208"/>
    <w:rsid w:val="00ED172A"/>
    <w:rsid w:val="00ED275C"/>
    <w:rsid w:val="00ED446E"/>
    <w:rsid w:val="00ED5CCD"/>
    <w:rsid w:val="00ED72DB"/>
    <w:rsid w:val="00EE05CC"/>
    <w:rsid w:val="00EE0D9C"/>
    <w:rsid w:val="00EE0F90"/>
    <w:rsid w:val="00EE12F9"/>
    <w:rsid w:val="00EE1D46"/>
    <w:rsid w:val="00EE3FF2"/>
    <w:rsid w:val="00EE44D7"/>
    <w:rsid w:val="00EE525E"/>
    <w:rsid w:val="00EE5303"/>
    <w:rsid w:val="00EE61A2"/>
    <w:rsid w:val="00EE6EED"/>
    <w:rsid w:val="00EF172C"/>
    <w:rsid w:val="00EF372D"/>
    <w:rsid w:val="00EF3858"/>
    <w:rsid w:val="00EF4DE0"/>
    <w:rsid w:val="00EF511D"/>
    <w:rsid w:val="00EF5EEE"/>
    <w:rsid w:val="00F01033"/>
    <w:rsid w:val="00F02341"/>
    <w:rsid w:val="00F02977"/>
    <w:rsid w:val="00F02CC0"/>
    <w:rsid w:val="00F0359B"/>
    <w:rsid w:val="00F043BA"/>
    <w:rsid w:val="00F045D6"/>
    <w:rsid w:val="00F05AA7"/>
    <w:rsid w:val="00F05AD8"/>
    <w:rsid w:val="00F0626E"/>
    <w:rsid w:val="00F06B80"/>
    <w:rsid w:val="00F07BF1"/>
    <w:rsid w:val="00F07C6D"/>
    <w:rsid w:val="00F1271A"/>
    <w:rsid w:val="00F13CE8"/>
    <w:rsid w:val="00F140B1"/>
    <w:rsid w:val="00F14C6D"/>
    <w:rsid w:val="00F14FB9"/>
    <w:rsid w:val="00F154CE"/>
    <w:rsid w:val="00F16E85"/>
    <w:rsid w:val="00F179FF"/>
    <w:rsid w:val="00F20647"/>
    <w:rsid w:val="00F212A8"/>
    <w:rsid w:val="00F23095"/>
    <w:rsid w:val="00F26257"/>
    <w:rsid w:val="00F273FC"/>
    <w:rsid w:val="00F277F9"/>
    <w:rsid w:val="00F30D64"/>
    <w:rsid w:val="00F3100E"/>
    <w:rsid w:val="00F32B6B"/>
    <w:rsid w:val="00F35197"/>
    <w:rsid w:val="00F36E47"/>
    <w:rsid w:val="00F40915"/>
    <w:rsid w:val="00F413BC"/>
    <w:rsid w:val="00F41D77"/>
    <w:rsid w:val="00F42A12"/>
    <w:rsid w:val="00F4322D"/>
    <w:rsid w:val="00F438A6"/>
    <w:rsid w:val="00F46FFE"/>
    <w:rsid w:val="00F50DA1"/>
    <w:rsid w:val="00F50F58"/>
    <w:rsid w:val="00F50FCE"/>
    <w:rsid w:val="00F5135A"/>
    <w:rsid w:val="00F517E4"/>
    <w:rsid w:val="00F544A8"/>
    <w:rsid w:val="00F545E2"/>
    <w:rsid w:val="00F55455"/>
    <w:rsid w:val="00F57310"/>
    <w:rsid w:val="00F578FA"/>
    <w:rsid w:val="00F57FE6"/>
    <w:rsid w:val="00F602DF"/>
    <w:rsid w:val="00F62447"/>
    <w:rsid w:val="00F62F36"/>
    <w:rsid w:val="00F63267"/>
    <w:rsid w:val="00F645F7"/>
    <w:rsid w:val="00F64F2F"/>
    <w:rsid w:val="00F657D2"/>
    <w:rsid w:val="00F66628"/>
    <w:rsid w:val="00F71471"/>
    <w:rsid w:val="00F71A6E"/>
    <w:rsid w:val="00F71B76"/>
    <w:rsid w:val="00F7204F"/>
    <w:rsid w:val="00F7510A"/>
    <w:rsid w:val="00F7563E"/>
    <w:rsid w:val="00F819A5"/>
    <w:rsid w:val="00F81CFD"/>
    <w:rsid w:val="00F82AC0"/>
    <w:rsid w:val="00F83394"/>
    <w:rsid w:val="00F83B1C"/>
    <w:rsid w:val="00F846CD"/>
    <w:rsid w:val="00F9078E"/>
    <w:rsid w:val="00F9193A"/>
    <w:rsid w:val="00F92429"/>
    <w:rsid w:val="00F94A44"/>
    <w:rsid w:val="00F94F05"/>
    <w:rsid w:val="00F95982"/>
    <w:rsid w:val="00F96AD9"/>
    <w:rsid w:val="00F97533"/>
    <w:rsid w:val="00FA1B37"/>
    <w:rsid w:val="00FA25FD"/>
    <w:rsid w:val="00FA52D0"/>
    <w:rsid w:val="00FA5440"/>
    <w:rsid w:val="00FB07D8"/>
    <w:rsid w:val="00FB3E00"/>
    <w:rsid w:val="00FC2132"/>
    <w:rsid w:val="00FC4E1A"/>
    <w:rsid w:val="00FC50AD"/>
    <w:rsid w:val="00FC582E"/>
    <w:rsid w:val="00FC6E1A"/>
    <w:rsid w:val="00FD19B8"/>
    <w:rsid w:val="00FD6769"/>
    <w:rsid w:val="00FD6999"/>
    <w:rsid w:val="00FD754C"/>
    <w:rsid w:val="00FD7CE7"/>
    <w:rsid w:val="00FE01C0"/>
    <w:rsid w:val="00FE10E4"/>
    <w:rsid w:val="00FE1C8C"/>
    <w:rsid w:val="00FE3AF9"/>
    <w:rsid w:val="00FE4FF6"/>
    <w:rsid w:val="00FE681D"/>
    <w:rsid w:val="00FE6A0F"/>
    <w:rsid w:val="00FF090B"/>
    <w:rsid w:val="00FF1679"/>
    <w:rsid w:val="00FF23FF"/>
    <w:rsid w:val="00FF271A"/>
    <w:rsid w:val="00FF59D4"/>
    <w:rsid w:val="00FF6232"/>
    <w:rsid w:val="00FF78FE"/>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footnote text" w:uiPriority="99"/>
    <w:lsdException w:name="annotation text" w:locked="1"/>
    <w:lsdException w:name="header" w:uiPriority="99"/>
    <w:lsdException w:name="footer" w:uiPriority="99"/>
    <w:lsdException w:name="index heading" w:locked="1"/>
    <w:lsdException w:name="caption" w:locked="1" w:qFormat="1"/>
    <w:lsdException w:name="table of figures" w:locked="1"/>
    <w:lsdException w:name="envelope address" w:locked="1"/>
    <w:lsdException w:name="envelope return" w:locked="1"/>
    <w:lsdException w:name="footnote reference" w:uiPriority="99"/>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99"/>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Grid" w:locked="1"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4E1"/>
    <w:pPr>
      <w:spacing w:before="240" w:after="240"/>
    </w:pPr>
    <w:rPr>
      <w:rFonts w:ascii="Arial" w:hAnsi="Arial"/>
      <w:sz w:val="24"/>
      <w:szCs w:val="24"/>
    </w:rPr>
  </w:style>
  <w:style w:type="paragraph" w:styleId="Heading1">
    <w:name w:val="heading 1"/>
    <w:basedOn w:val="Normal"/>
    <w:next w:val="Normal"/>
    <w:link w:val="Heading1Char"/>
    <w:uiPriority w:val="9"/>
    <w:qFormat/>
    <w:rsid w:val="002935BF"/>
    <w:pPr>
      <w:keepNext/>
      <w:keepLines/>
      <w:pBdr>
        <w:bottom w:val="single" w:sz="4" w:space="1" w:color="auto"/>
      </w:pBdr>
      <w:spacing w:before="360"/>
      <w:outlineLvl w:val="0"/>
    </w:pPr>
    <w:rPr>
      <w:b/>
      <w:bCs/>
      <w:sz w:val="28"/>
      <w:szCs w:val="28"/>
    </w:rPr>
  </w:style>
  <w:style w:type="paragraph" w:styleId="Heading2">
    <w:name w:val="heading 2"/>
    <w:basedOn w:val="Normal"/>
    <w:next w:val="Normal"/>
    <w:link w:val="Heading2Char"/>
    <w:uiPriority w:val="9"/>
    <w:qFormat/>
    <w:rsid w:val="006300A8"/>
    <w:pPr>
      <w:outlineLvl w:val="1"/>
    </w:pPr>
    <w:rPr>
      <w:u w:val="single"/>
    </w:rPr>
  </w:style>
  <w:style w:type="paragraph" w:styleId="Heading3">
    <w:name w:val="heading 3"/>
    <w:basedOn w:val="Heading2"/>
    <w:next w:val="Normal"/>
    <w:link w:val="Heading3Char"/>
    <w:qFormat/>
    <w:rsid w:val="00AC27AB"/>
    <w:pPr>
      <w:numPr>
        <w:ilvl w:val="2"/>
      </w:numPr>
      <w:outlineLvl w:val="2"/>
    </w:pPr>
    <w:rPr>
      <w:b/>
      <w:bCs/>
    </w:rPr>
  </w:style>
  <w:style w:type="paragraph" w:styleId="Heading4">
    <w:name w:val="heading 4"/>
    <w:basedOn w:val="Heading3"/>
    <w:next w:val="Normal"/>
    <w:link w:val="Heading4Char"/>
    <w:qFormat/>
    <w:rsid w:val="00AC27AB"/>
    <w:pPr>
      <w:numPr>
        <w:ilvl w:val="3"/>
      </w:numPr>
      <w:outlineLvl w:val="3"/>
    </w:pPr>
    <w:rPr>
      <w:bCs w:val="0"/>
      <w:i/>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35BF"/>
    <w:rPr>
      <w:rFonts w:ascii="Arial" w:hAnsi="Arial"/>
      <w:b/>
      <w:bCs/>
      <w:sz w:val="28"/>
      <w:szCs w:val="28"/>
    </w:rPr>
  </w:style>
  <w:style w:type="character" w:customStyle="1" w:styleId="Heading2Char">
    <w:name w:val="Heading 2 Char"/>
    <w:basedOn w:val="DefaultParagraphFont"/>
    <w:link w:val="Heading2"/>
    <w:uiPriority w:val="9"/>
    <w:rsid w:val="006300A8"/>
    <w:rPr>
      <w:rFonts w:ascii="Arial" w:hAnsi="Arial"/>
      <w:sz w:val="24"/>
      <w:szCs w:val="24"/>
      <w:u w:val="single"/>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uiPriority w:val="22"/>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uiPriority w:val="99"/>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uiPriority w:val="99"/>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C166CF"/>
    <w:pPr>
      <w:tabs>
        <w:tab w:val="right" w:leader="dot" w:pos="9060"/>
      </w:tabs>
      <w:spacing w:after="0"/>
    </w:pPr>
    <w:rPr>
      <w:b/>
    </w:rPr>
  </w:style>
  <w:style w:type="paragraph" w:styleId="TOC2">
    <w:name w:val="toc 2"/>
    <w:basedOn w:val="Normal"/>
    <w:next w:val="Normal"/>
    <w:autoRedefine/>
    <w:uiPriority w:val="39"/>
    <w:qFormat/>
    <w:locked/>
    <w:rsid w:val="00D657D8"/>
    <w:pPr>
      <w:tabs>
        <w:tab w:val="right" w:leader="dot" w:pos="9060"/>
      </w:tabs>
      <w:spacing w:before="0" w:after="0"/>
      <w:ind w:left="284"/>
    </w:pPr>
    <w:rPr>
      <w:noProof/>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uiPriority w:val="20"/>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uiPriority w:val="99"/>
    <w:rsid w:val="00074CD6"/>
    <w:rPr>
      <w:rFonts w:ascii="Arial" w:hAnsi="Arial"/>
      <w:sz w:val="20"/>
      <w:vertAlign w:val="superscript"/>
    </w:rPr>
  </w:style>
  <w:style w:type="paragraph" w:styleId="FootnoteText">
    <w:name w:val="footnote text"/>
    <w:aliases w:val="FN,fn,Footnote Text Char1,Footnote Text Char Char,Footnote Text Char1 Char Char,Footnote Text Char Char Char Char,Footnote Text Char Char1,Footnote Text Char1 Char,Footnote Text Char Char Char"/>
    <w:basedOn w:val="Normal"/>
    <w:link w:val="FootnoteTextChar"/>
    <w:uiPriority w:val="99"/>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link w:val="HTMLPreformattedChar"/>
    <w:uiPriority w:val="99"/>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uiPriority w:val="99"/>
    <w:locked/>
    <w:rsid w:val="00706FAB"/>
    <w:rPr>
      <w:rFonts w:ascii="Arial" w:hAnsi="Arial"/>
      <w:lang w:val="en-AU" w:eastAsia="en-AU" w:bidi="ar-SA"/>
    </w:rPr>
  </w:style>
  <w:style w:type="paragraph" w:styleId="ListParagraph">
    <w:name w:val="List Paragraph"/>
    <w:aliases w:val="L,List Paragraph1,List Paragraph11,Recommendation,Bulleted list"/>
    <w:basedOn w:val="Normal"/>
    <w:link w:val="ListParagraphChar"/>
    <w:qFormat/>
    <w:rsid w:val="001816CE"/>
    <w:pPr>
      <w:ind w:left="720"/>
      <w:contextualSpacing/>
    </w:pPr>
  </w:style>
  <w:style w:type="paragraph" w:styleId="BalloonText">
    <w:name w:val="Balloon Text"/>
    <w:basedOn w:val="Normal"/>
    <w:link w:val="BalloonTextChar"/>
    <w:uiPriority w:val="99"/>
    <w:semiHidden/>
    <w:unhideWhenUsed/>
    <w:locked/>
    <w:rsid w:val="00B6439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390"/>
    <w:rPr>
      <w:rFonts w:ascii="Tahoma" w:hAnsi="Tahoma" w:cs="Tahoma"/>
      <w:sz w:val="16"/>
      <w:szCs w:val="16"/>
    </w:rPr>
  </w:style>
  <w:style w:type="paragraph" w:styleId="NoSpacing">
    <w:name w:val="No Spacing"/>
    <w:uiPriority w:val="1"/>
    <w:qFormat/>
    <w:rsid w:val="00E578BD"/>
    <w:rPr>
      <w:rFonts w:ascii="Arial" w:hAnsi="Arial"/>
      <w:b/>
      <w:sz w:val="28"/>
      <w:szCs w:val="28"/>
    </w:rPr>
  </w:style>
  <w:style w:type="character" w:customStyle="1" w:styleId="IntenseEmphasis1">
    <w:name w:val="Intense Emphasis1"/>
    <w:uiPriority w:val="21"/>
    <w:qFormat/>
    <w:rsid w:val="00AC0ED5"/>
    <w:rPr>
      <w:b/>
      <w:bCs/>
      <w:i/>
      <w:iCs/>
      <w:color w:val="4F81BD"/>
    </w:rPr>
  </w:style>
  <w:style w:type="character" w:customStyle="1" w:styleId="Hyperlink0">
    <w:name w:val="Hyperlink.0"/>
    <w:basedOn w:val="PageNumber"/>
    <w:rsid w:val="00E54F7A"/>
  </w:style>
  <w:style w:type="numbering" w:customStyle="1" w:styleId="List16">
    <w:name w:val="List 16"/>
    <w:basedOn w:val="NoList"/>
    <w:rsid w:val="00E54F7A"/>
    <w:pPr>
      <w:numPr>
        <w:numId w:val="17"/>
      </w:numPr>
    </w:pPr>
  </w:style>
  <w:style w:type="numbering" w:customStyle="1" w:styleId="List17">
    <w:name w:val="List 17"/>
    <w:basedOn w:val="NoList"/>
    <w:rsid w:val="00E54F7A"/>
    <w:pPr>
      <w:numPr>
        <w:numId w:val="18"/>
      </w:numPr>
    </w:pPr>
  </w:style>
  <w:style w:type="numbering" w:customStyle="1" w:styleId="List21">
    <w:name w:val="List 21"/>
    <w:basedOn w:val="NoList"/>
    <w:rsid w:val="00B556BF"/>
    <w:pPr>
      <w:numPr>
        <w:numId w:val="19"/>
      </w:numPr>
    </w:pPr>
  </w:style>
  <w:style w:type="numbering" w:customStyle="1" w:styleId="List31">
    <w:name w:val="List 31"/>
    <w:basedOn w:val="NoList"/>
    <w:rsid w:val="00B556BF"/>
    <w:pPr>
      <w:numPr>
        <w:numId w:val="20"/>
      </w:numPr>
    </w:pPr>
  </w:style>
  <w:style w:type="numbering" w:customStyle="1" w:styleId="List41">
    <w:name w:val="List 41"/>
    <w:basedOn w:val="NoList"/>
    <w:rsid w:val="00B556BF"/>
    <w:pPr>
      <w:numPr>
        <w:numId w:val="21"/>
      </w:numPr>
    </w:pPr>
  </w:style>
  <w:style w:type="numbering" w:customStyle="1" w:styleId="List51">
    <w:name w:val="List 51"/>
    <w:basedOn w:val="NoList"/>
    <w:rsid w:val="00B556BF"/>
    <w:pPr>
      <w:numPr>
        <w:numId w:val="22"/>
      </w:numPr>
    </w:pPr>
  </w:style>
  <w:style w:type="numbering" w:customStyle="1" w:styleId="List6">
    <w:name w:val="List 6"/>
    <w:basedOn w:val="NoList"/>
    <w:rsid w:val="00B556BF"/>
    <w:pPr>
      <w:numPr>
        <w:numId w:val="23"/>
      </w:numPr>
    </w:pPr>
  </w:style>
  <w:style w:type="table" w:styleId="LightList-Accent5">
    <w:name w:val="Light List Accent 5"/>
    <w:basedOn w:val="TableNormal"/>
    <w:uiPriority w:val="61"/>
    <w:rsid w:val="00786B4C"/>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BookTitle">
    <w:name w:val="Book Title"/>
    <w:uiPriority w:val="33"/>
    <w:qFormat/>
    <w:rsid w:val="00241581"/>
    <w:rPr>
      <w:i/>
      <w:iCs/>
      <w:smallCaps/>
      <w:spacing w:val="5"/>
    </w:rPr>
  </w:style>
  <w:style w:type="paragraph" w:customStyle="1" w:styleId="Default">
    <w:name w:val="Default"/>
    <w:rsid w:val="009F1371"/>
    <w:pPr>
      <w:autoSpaceDE w:val="0"/>
      <w:autoSpaceDN w:val="0"/>
      <w:adjustRightInd w:val="0"/>
    </w:pPr>
    <w:rPr>
      <w:rFonts w:ascii="Arial" w:hAnsi="Arial" w:cs="Arial"/>
      <w:color w:val="000000"/>
      <w:sz w:val="24"/>
      <w:szCs w:val="24"/>
    </w:rPr>
  </w:style>
  <w:style w:type="character" w:customStyle="1" w:styleId="ListParagraphChar">
    <w:name w:val="List Paragraph Char"/>
    <w:aliases w:val="L Char,List Paragraph1 Char,List Paragraph11 Char,Recommendation Char,Bulleted list Char"/>
    <w:link w:val="ListParagraph"/>
    <w:locked/>
    <w:rsid w:val="00F62F36"/>
    <w:rPr>
      <w:rFonts w:ascii="Arial" w:hAnsi="Arial"/>
      <w:sz w:val="24"/>
      <w:szCs w:val="24"/>
    </w:rPr>
  </w:style>
  <w:style w:type="character" w:customStyle="1" w:styleId="apple-converted-space">
    <w:name w:val="apple-converted-space"/>
    <w:basedOn w:val="DefaultParagraphFont"/>
    <w:rsid w:val="0090319B"/>
  </w:style>
  <w:style w:type="character" w:customStyle="1" w:styleId="HTMLPreformattedChar">
    <w:name w:val="HTML Preformatted Char"/>
    <w:basedOn w:val="DefaultParagraphFont"/>
    <w:link w:val="HTMLPreformatted"/>
    <w:uiPriority w:val="99"/>
    <w:semiHidden/>
    <w:rsid w:val="008004FE"/>
    <w:rPr>
      <w:rFonts w:ascii="Courier New" w:hAnsi="Courier New" w:cs="Courier New"/>
    </w:rPr>
  </w:style>
  <w:style w:type="character" w:customStyle="1" w:styleId="slug-pub-date">
    <w:name w:val="slug-pub-date"/>
    <w:basedOn w:val="DefaultParagraphFont"/>
    <w:rsid w:val="006964A9"/>
  </w:style>
  <w:style w:type="character" w:customStyle="1" w:styleId="slug-vol">
    <w:name w:val="slug-vol"/>
    <w:basedOn w:val="DefaultParagraphFont"/>
    <w:rsid w:val="006964A9"/>
  </w:style>
  <w:style w:type="character" w:customStyle="1" w:styleId="slug-issue">
    <w:name w:val="slug-issue"/>
    <w:basedOn w:val="DefaultParagraphFont"/>
    <w:rsid w:val="006964A9"/>
  </w:style>
  <w:style w:type="character" w:customStyle="1" w:styleId="slug-pages">
    <w:name w:val="slug-pages"/>
    <w:basedOn w:val="DefaultParagraphFont"/>
    <w:rsid w:val="006964A9"/>
  </w:style>
  <w:style w:type="paragraph" w:styleId="IntenseQuote">
    <w:name w:val="Intense Quote"/>
    <w:basedOn w:val="Normal"/>
    <w:next w:val="Normal"/>
    <w:link w:val="IntenseQuoteChar"/>
    <w:uiPriority w:val="30"/>
    <w:qFormat/>
    <w:rsid w:val="00E06A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06A2A"/>
    <w:rPr>
      <w:rFonts w:ascii="Arial" w:hAnsi="Arial"/>
      <w:b/>
      <w:bCs/>
      <w:i/>
      <w:iCs/>
      <w:color w:val="4F81BD" w:themeColor="accent1"/>
      <w:sz w:val="24"/>
      <w:szCs w:val="24"/>
    </w:rPr>
  </w:style>
  <w:style w:type="character" w:styleId="CommentReference">
    <w:name w:val="annotation reference"/>
    <w:basedOn w:val="DefaultParagraphFont"/>
    <w:semiHidden/>
    <w:unhideWhenUsed/>
    <w:locked/>
    <w:rsid w:val="000163B7"/>
    <w:rPr>
      <w:sz w:val="16"/>
      <w:szCs w:val="16"/>
    </w:rPr>
  </w:style>
  <w:style w:type="paragraph" w:styleId="CommentText">
    <w:name w:val="annotation text"/>
    <w:basedOn w:val="Normal"/>
    <w:link w:val="CommentTextChar"/>
    <w:semiHidden/>
    <w:unhideWhenUsed/>
    <w:locked/>
    <w:rsid w:val="000163B7"/>
    <w:rPr>
      <w:sz w:val="20"/>
      <w:szCs w:val="20"/>
    </w:rPr>
  </w:style>
  <w:style w:type="character" w:customStyle="1" w:styleId="CommentTextChar">
    <w:name w:val="Comment Text Char"/>
    <w:basedOn w:val="DefaultParagraphFont"/>
    <w:link w:val="CommentText"/>
    <w:semiHidden/>
    <w:rsid w:val="000163B7"/>
    <w:rPr>
      <w:rFonts w:ascii="Arial" w:hAnsi="Arial"/>
    </w:rPr>
  </w:style>
  <w:style w:type="paragraph" w:styleId="CommentSubject">
    <w:name w:val="annotation subject"/>
    <w:basedOn w:val="CommentText"/>
    <w:next w:val="CommentText"/>
    <w:link w:val="CommentSubjectChar"/>
    <w:semiHidden/>
    <w:unhideWhenUsed/>
    <w:locked/>
    <w:rsid w:val="000163B7"/>
    <w:rPr>
      <w:b/>
      <w:bCs/>
    </w:rPr>
  </w:style>
  <w:style w:type="character" w:customStyle="1" w:styleId="CommentSubjectChar">
    <w:name w:val="Comment Subject Char"/>
    <w:basedOn w:val="CommentTextChar"/>
    <w:link w:val="CommentSubject"/>
    <w:semiHidden/>
    <w:rsid w:val="000163B7"/>
    <w:rPr>
      <w:rFonts w:ascii="Arial" w:hAnsi="Arial"/>
      <w:b/>
      <w:bCs/>
    </w:rPr>
  </w:style>
  <w:style w:type="paragraph" w:customStyle="1" w:styleId="Body">
    <w:name w:val="Body"/>
    <w:rsid w:val="001E5BCD"/>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default0">
    <w:name w:val="default"/>
    <w:basedOn w:val="Normal"/>
    <w:rsid w:val="00F846CD"/>
    <w:pPr>
      <w:spacing w:before="100" w:beforeAutospacing="1" w:after="100" w:afterAutospacing="1"/>
    </w:pPr>
    <w:rPr>
      <w:rFonts w:ascii="Times New Roman" w:hAnsi="Times New Roman"/>
    </w:rPr>
  </w:style>
  <w:style w:type="paragraph" w:styleId="Quote">
    <w:name w:val="Quote"/>
    <w:basedOn w:val="Normal"/>
    <w:next w:val="Normal"/>
    <w:link w:val="QuoteChar"/>
    <w:uiPriority w:val="29"/>
    <w:qFormat/>
    <w:rsid w:val="00E578BD"/>
    <w:rPr>
      <w:i/>
      <w:iCs/>
      <w:color w:val="000000" w:themeColor="text1"/>
    </w:rPr>
  </w:style>
  <w:style w:type="character" w:customStyle="1" w:styleId="QuoteChar">
    <w:name w:val="Quote Char"/>
    <w:basedOn w:val="DefaultParagraphFont"/>
    <w:link w:val="Quote"/>
    <w:uiPriority w:val="29"/>
    <w:rsid w:val="00E578BD"/>
    <w:rPr>
      <w:rFonts w:ascii="Arial" w:hAnsi="Arial"/>
      <w:i/>
      <w:iCs/>
      <w:color w:val="000000" w:themeColor="text1"/>
      <w:sz w:val="24"/>
      <w:szCs w:val="24"/>
    </w:rPr>
  </w:style>
  <w:style w:type="paragraph" w:styleId="Revision">
    <w:name w:val="Revision"/>
    <w:hidden/>
    <w:uiPriority w:val="99"/>
    <w:semiHidden/>
    <w:rsid w:val="0054490B"/>
    <w:rPr>
      <w:rFonts w:ascii="Arial" w:hAnsi="Arial"/>
      <w:sz w:val="24"/>
      <w:szCs w:val="24"/>
    </w:rPr>
  </w:style>
  <w:style w:type="character" w:customStyle="1" w:styleId="highlightspan">
    <w:name w:val="highlightspan"/>
    <w:basedOn w:val="DefaultParagraphFont"/>
    <w:rsid w:val="001F4C21"/>
  </w:style>
  <w:style w:type="character" w:customStyle="1" w:styleId="element-invisible">
    <w:name w:val="element-invisible"/>
    <w:basedOn w:val="DefaultParagraphFont"/>
    <w:rsid w:val="00C90302"/>
  </w:style>
  <w:style w:type="paragraph" w:customStyle="1" w:styleId="svarticle">
    <w:name w:val="svarticle"/>
    <w:basedOn w:val="Normal"/>
    <w:rsid w:val="00691EDA"/>
    <w:pPr>
      <w:spacing w:before="100" w:beforeAutospacing="1" w:after="100" w:afterAutospacing="1"/>
    </w:pPr>
    <w:rPr>
      <w:rFonts w:ascii="Times New Roman" w:hAnsi="Times New Roman"/>
    </w:rPr>
  </w:style>
  <w:style w:type="paragraph" w:styleId="DocumentMap">
    <w:name w:val="Document Map"/>
    <w:basedOn w:val="Normal"/>
    <w:link w:val="DocumentMapChar"/>
    <w:semiHidden/>
    <w:unhideWhenUsed/>
    <w:locked/>
    <w:rsid w:val="00947615"/>
    <w:pPr>
      <w:spacing w:before="0" w:after="0"/>
    </w:pPr>
    <w:rPr>
      <w:rFonts w:ascii="Lucida Grande" w:hAnsi="Lucida Grande"/>
    </w:rPr>
  </w:style>
  <w:style w:type="character" w:customStyle="1" w:styleId="DocumentMapChar">
    <w:name w:val="Document Map Char"/>
    <w:basedOn w:val="DefaultParagraphFont"/>
    <w:link w:val="DocumentMap"/>
    <w:semiHidden/>
    <w:rsid w:val="00947615"/>
    <w:rPr>
      <w:rFonts w:ascii="Lucida Grande" w:hAnsi="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footnote text" w:uiPriority="99"/>
    <w:lsdException w:name="annotation text" w:locked="1"/>
    <w:lsdException w:name="header" w:uiPriority="99"/>
    <w:lsdException w:name="footer" w:uiPriority="99"/>
    <w:lsdException w:name="index heading" w:locked="1"/>
    <w:lsdException w:name="caption" w:locked="1" w:qFormat="1"/>
    <w:lsdException w:name="table of figures" w:locked="1"/>
    <w:lsdException w:name="envelope address" w:locked="1"/>
    <w:lsdException w:name="envelope return" w:locked="1"/>
    <w:lsdException w:name="footnote reference" w:uiPriority="99"/>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99"/>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99"/>
    <w:lsdException w:name="Table Grid" w:locked="1"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4E1"/>
    <w:pPr>
      <w:spacing w:before="240" w:after="240"/>
    </w:pPr>
    <w:rPr>
      <w:rFonts w:ascii="Arial" w:hAnsi="Arial"/>
      <w:sz w:val="24"/>
      <w:szCs w:val="24"/>
    </w:rPr>
  </w:style>
  <w:style w:type="paragraph" w:styleId="Heading1">
    <w:name w:val="heading 1"/>
    <w:basedOn w:val="Normal"/>
    <w:next w:val="Normal"/>
    <w:link w:val="Heading1Char"/>
    <w:uiPriority w:val="9"/>
    <w:qFormat/>
    <w:rsid w:val="002935BF"/>
    <w:pPr>
      <w:keepNext/>
      <w:keepLines/>
      <w:pBdr>
        <w:bottom w:val="single" w:sz="4" w:space="1" w:color="auto"/>
      </w:pBdr>
      <w:spacing w:before="360"/>
      <w:outlineLvl w:val="0"/>
    </w:pPr>
    <w:rPr>
      <w:b/>
      <w:bCs/>
      <w:sz w:val="28"/>
      <w:szCs w:val="28"/>
    </w:rPr>
  </w:style>
  <w:style w:type="paragraph" w:styleId="Heading2">
    <w:name w:val="heading 2"/>
    <w:basedOn w:val="Normal"/>
    <w:next w:val="Normal"/>
    <w:link w:val="Heading2Char"/>
    <w:uiPriority w:val="9"/>
    <w:qFormat/>
    <w:rsid w:val="006300A8"/>
    <w:pPr>
      <w:outlineLvl w:val="1"/>
    </w:pPr>
    <w:rPr>
      <w:u w:val="single"/>
    </w:rPr>
  </w:style>
  <w:style w:type="paragraph" w:styleId="Heading3">
    <w:name w:val="heading 3"/>
    <w:basedOn w:val="Heading2"/>
    <w:next w:val="Normal"/>
    <w:link w:val="Heading3Char"/>
    <w:qFormat/>
    <w:rsid w:val="00AC27AB"/>
    <w:pPr>
      <w:numPr>
        <w:ilvl w:val="2"/>
      </w:numPr>
      <w:outlineLvl w:val="2"/>
    </w:pPr>
    <w:rPr>
      <w:b/>
      <w:bCs/>
    </w:rPr>
  </w:style>
  <w:style w:type="paragraph" w:styleId="Heading4">
    <w:name w:val="heading 4"/>
    <w:basedOn w:val="Heading3"/>
    <w:next w:val="Normal"/>
    <w:link w:val="Heading4Char"/>
    <w:qFormat/>
    <w:rsid w:val="00AC27AB"/>
    <w:pPr>
      <w:numPr>
        <w:ilvl w:val="3"/>
      </w:numPr>
      <w:outlineLvl w:val="3"/>
    </w:pPr>
    <w:rPr>
      <w:bCs w:val="0"/>
      <w:i/>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35BF"/>
    <w:rPr>
      <w:rFonts w:ascii="Arial" w:hAnsi="Arial"/>
      <w:b/>
      <w:bCs/>
      <w:sz w:val="28"/>
      <w:szCs w:val="28"/>
    </w:rPr>
  </w:style>
  <w:style w:type="character" w:customStyle="1" w:styleId="Heading2Char">
    <w:name w:val="Heading 2 Char"/>
    <w:basedOn w:val="DefaultParagraphFont"/>
    <w:link w:val="Heading2"/>
    <w:uiPriority w:val="9"/>
    <w:rsid w:val="006300A8"/>
    <w:rPr>
      <w:rFonts w:ascii="Arial" w:hAnsi="Arial"/>
      <w:sz w:val="24"/>
      <w:szCs w:val="24"/>
      <w:u w:val="single"/>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uiPriority w:val="22"/>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uiPriority w:val="99"/>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uiPriority w:val="99"/>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C166CF"/>
    <w:pPr>
      <w:tabs>
        <w:tab w:val="right" w:leader="dot" w:pos="9060"/>
      </w:tabs>
      <w:spacing w:after="0"/>
    </w:pPr>
    <w:rPr>
      <w:b/>
    </w:rPr>
  </w:style>
  <w:style w:type="paragraph" w:styleId="TOC2">
    <w:name w:val="toc 2"/>
    <w:basedOn w:val="Normal"/>
    <w:next w:val="Normal"/>
    <w:autoRedefine/>
    <w:uiPriority w:val="39"/>
    <w:qFormat/>
    <w:locked/>
    <w:rsid w:val="00D657D8"/>
    <w:pPr>
      <w:tabs>
        <w:tab w:val="right" w:leader="dot" w:pos="9060"/>
      </w:tabs>
      <w:spacing w:before="0" w:after="0"/>
      <w:ind w:left="284"/>
    </w:pPr>
    <w:rPr>
      <w:noProof/>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uiPriority w:val="20"/>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uiPriority w:val="99"/>
    <w:rsid w:val="00074CD6"/>
    <w:rPr>
      <w:rFonts w:ascii="Arial" w:hAnsi="Arial"/>
      <w:sz w:val="20"/>
      <w:vertAlign w:val="superscript"/>
    </w:rPr>
  </w:style>
  <w:style w:type="paragraph" w:styleId="FootnoteText">
    <w:name w:val="footnote text"/>
    <w:aliases w:val="FN,fn,Footnote Text Char1,Footnote Text Char Char,Footnote Text Char1 Char Char,Footnote Text Char Char Char Char,Footnote Text Char Char1,Footnote Text Char1 Char,Footnote Text Char Char Char"/>
    <w:basedOn w:val="Normal"/>
    <w:link w:val="FootnoteTextChar"/>
    <w:uiPriority w:val="99"/>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link w:val="HTMLPreformattedChar"/>
    <w:uiPriority w:val="99"/>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uiPriority w:val="99"/>
    <w:locked/>
    <w:rsid w:val="00706FAB"/>
    <w:rPr>
      <w:rFonts w:ascii="Arial" w:hAnsi="Arial"/>
      <w:lang w:val="en-AU" w:eastAsia="en-AU" w:bidi="ar-SA"/>
    </w:rPr>
  </w:style>
  <w:style w:type="paragraph" w:styleId="ListParagraph">
    <w:name w:val="List Paragraph"/>
    <w:aliases w:val="L,List Paragraph1,List Paragraph11,Recommendation,Bulleted list"/>
    <w:basedOn w:val="Normal"/>
    <w:link w:val="ListParagraphChar"/>
    <w:qFormat/>
    <w:rsid w:val="001816CE"/>
    <w:pPr>
      <w:ind w:left="720"/>
      <w:contextualSpacing/>
    </w:pPr>
  </w:style>
  <w:style w:type="paragraph" w:styleId="BalloonText">
    <w:name w:val="Balloon Text"/>
    <w:basedOn w:val="Normal"/>
    <w:link w:val="BalloonTextChar"/>
    <w:uiPriority w:val="99"/>
    <w:semiHidden/>
    <w:unhideWhenUsed/>
    <w:locked/>
    <w:rsid w:val="00B6439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390"/>
    <w:rPr>
      <w:rFonts w:ascii="Tahoma" w:hAnsi="Tahoma" w:cs="Tahoma"/>
      <w:sz w:val="16"/>
      <w:szCs w:val="16"/>
    </w:rPr>
  </w:style>
  <w:style w:type="paragraph" w:styleId="NoSpacing">
    <w:name w:val="No Spacing"/>
    <w:uiPriority w:val="1"/>
    <w:qFormat/>
    <w:rsid w:val="00E578BD"/>
    <w:rPr>
      <w:rFonts w:ascii="Arial" w:hAnsi="Arial"/>
      <w:b/>
      <w:sz w:val="28"/>
      <w:szCs w:val="28"/>
    </w:rPr>
  </w:style>
  <w:style w:type="character" w:customStyle="1" w:styleId="IntenseEmphasis1">
    <w:name w:val="Intense Emphasis1"/>
    <w:uiPriority w:val="21"/>
    <w:qFormat/>
    <w:rsid w:val="00AC0ED5"/>
    <w:rPr>
      <w:b/>
      <w:bCs/>
      <w:i/>
      <w:iCs/>
      <w:color w:val="4F81BD"/>
    </w:rPr>
  </w:style>
  <w:style w:type="character" w:customStyle="1" w:styleId="Hyperlink0">
    <w:name w:val="Hyperlink.0"/>
    <w:basedOn w:val="PageNumber"/>
    <w:rsid w:val="00E54F7A"/>
  </w:style>
  <w:style w:type="numbering" w:customStyle="1" w:styleId="List16">
    <w:name w:val="List 16"/>
    <w:basedOn w:val="NoList"/>
    <w:rsid w:val="00E54F7A"/>
    <w:pPr>
      <w:numPr>
        <w:numId w:val="17"/>
      </w:numPr>
    </w:pPr>
  </w:style>
  <w:style w:type="numbering" w:customStyle="1" w:styleId="List17">
    <w:name w:val="List 17"/>
    <w:basedOn w:val="NoList"/>
    <w:rsid w:val="00E54F7A"/>
    <w:pPr>
      <w:numPr>
        <w:numId w:val="18"/>
      </w:numPr>
    </w:pPr>
  </w:style>
  <w:style w:type="numbering" w:customStyle="1" w:styleId="List21">
    <w:name w:val="List 21"/>
    <w:basedOn w:val="NoList"/>
    <w:rsid w:val="00B556BF"/>
    <w:pPr>
      <w:numPr>
        <w:numId w:val="19"/>
      </w:numPr>
    </w:pPr>
  </w:style>
  <w:style w:type="numbering" w:customStyle="1" w:styleId="List31">
    <w:name w:val="List 31"/>
    <w:basedOn w:val="NoList"/>
    <w:rsid w:val="00B556BF"/>
    <w:pPr>
      <w:numPr>
        <w:numId w:val="20"/>
      </w:numPr>
    </w:pPr>
  </w:style>
  <w:style w:type="numbering" w:customStyle="1" w:styleId="List41">
    <w:name w:val="List 41"/>
    <w:basedOn w:val="NoList"/>
    <w:rsid w:val="00B556BF"/>
    <w:pPr>
      <w:numPr>
        <w:numId w:val="21"/>
      </w:numPr>
    </w:pPr>
  </w:style>
  <w:style w:type="numbering" w:customStyle="1" w:styleId="List51">
    <w:name w:val="List 51"/>
    <w:basedOn w:val="NoList"/>
    <w:rsid w:val="00B556BF"/>
    <w:pPr>
      <w:numPr>
        <w:numId w:val="22"/>
      </w:numPr>
    </w:pPr>
  </w:style>
  <w:style w:type="numbering" w:customStyle="1" w:styleId="List6">
    <w:name w:val="List 6"/>
    <w:basedOn w:val="NoList"/>
    <w:rsid w:val="00B556BF"/>
    <w:pPr>
      <w:numPr>
        <w:numId w:val="23"/>
      </w:numPr>
    </w:pPr>
  </w:style>
  <w:style w:type="table" w:styleId="LightList-Accent5">
    <w:name w:val="Light List Accent 5"/>
    <w:basedOn w:val="TableNormal"/>
    <w:uiPriority w:val="61"/>
    <w:rsid w:val="00786B4C"/>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BookTitle">
    <w:name w:val="Book Title"/>
    <w:uiPriority w:val="33"/>
    <w:qFormat/>
    <w:rsid w:val="00241581"/>
    <w:rPr>
      <w:i/>
      <w:iCs/>
      <w:smallCaps/>
      <w:spacing w:val="5"/>
    </w:rPr>
  </w:style>
  <w:style w:type="paragraph" w:customStyle="1" w:styleId="Default">
    <w:name w:val="Default"/>
    <w:rsid w:val="009F1371"/>
    <w:pPr>
      <w:autoSpaceDE w:val="0"/>
      <w:autoSpaceDN w:val="0"/>
      <w:adjustRightInd w:val="0"/>
    </w:pPr>
    <w:rPr>
      <w:rFonts w:ascii="Arial" w:hAnsi="Arial" w:cs="Arial"/>
      <w:color w:val="000000"/>
      <w:sz w:val="24"/>
      <w:szCs w:val="24"/>
    </w:rPr>
  </w:style>
  <w:style w:type="character" w:customStyle="1" w:styleId="ListParagraphChar">
    <w:name w:val="List Paragraph Char"/>
    <w:aliases w:val="L Char,List Paragraph1 Char,List Paragraph11 Char,Recommendation Char,Bulleted list Char"/>
    <w:link w:val="ListParagraph"/>
    <w:locked/>
    <w:rsid w:val="00F62F36"/>
    <w:rPr>
      <w:rFonts w:ascii="Arial" w:hAnsi="Arial"/>
      <w:sz w:val="24"/>
      <w:szCs w:val="24"/>
    </w:rPr>
  </w:style>
  <w:style w:type="character" w:customStyle="1" w:styleId="apple-converted-space">
    <w:name w:val="apple-converted-space"/>
    <w:basedOn w:val="DefaultParagraphFont"/>
    <w:rsid w:val="0090319B"/>
  </w:style>
  <w:style w:type="character" w:customStyle="1" w:styleId="HTMLPreformattedChar">
    <w:name w:val="HTML Preformatted Char"/>
    <w:basedOn w:val="DefaultParagraphFont"/>
    <w:link w:val="HTMLPreformatted"/>
    <w:uiPriority w:val="99"/>
    <w:semiHidden/>
    <w:rsid w:val="008004FE"/>
    <w:rPr>
      <w:rFonts w:ascii="Courier New" w:hAnsi="Courier New" w:cs="Courier New"/>
    </w:rPr>
  </w:style>
  <w:style w:type="character" w:customStyle="1" w:styleId="slug-pub-date">
    <w:name w:val="slug-pub-date"/>
    <w:basedOn w:val="DefaultParagraphFont"/>
    <w:rsid w:val="006964A9"/>
  </w:style>
  <w:style w:type="character" w:customStyle="1" w:styleId="slug-vol">
    <w:name w:val="slug-vol"/>
    <w:basedOn w:val="DefaultParagraphFont"/>
    <w:rsid w:val="006964A9"/>
  </w:style>
  <w:style w:type="character" w:customStyle="1" w:styleId="slug-issue">
    <w:name w:val="slug-issue"/>
    <w:basedOn w:val="DefaultParagraphFont"/>
    <w:rsid w:val="006964A9"/>
  </w:style>
  <w:style w:type="character" w:customStyle="1" w:styleId="slug-pages">
    <w:name w:val="slug-pages"/>
    <w:basedOn w:val="DefaultParagraphFont"/>
    <w:rsid w:val="006964A9"/>
  </w:style>
  <w:style w:type="paragraph" w:styleId="IntenseQuote">
    <w:name w:val="Intense Quote"/>
    <w:basedOn w:val="Normal"/>
    <w:next w:val="Normal"/>
    <w:link w:val="IntenseQuoteChar"/>
    <w:uiPriority w:val="30"/>
    <w:qFormat/>
    <w:rsid w:val="00E06A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06A2A"/>
    <w:rPr>
      <w:rFonts w:ascii="Arial" w:hAnsi="Arial"/>
      <w:b/>
      <w:bCs/>
      <w:i/>
      <w:iCs/>
      <w:color w:val="4F81BD" w:themeColor="accent1"/>
      <w:sz w:val="24"/>
      <w:szCs w:val="24"/>
    </w:rPr>
  </w:style>
  <w:style w:type="character" w:styleId="CommentReference">
    <w:name w:val="annotation reference"/>
    <w:basedOn w:val="DefaultParagraphFont"/>
    <w:semiHidden/>
    <w:unhideWhenUsed/>
    <w:locked/>
    <w:rsid w:val="000163B7"/>
    <w:rPr>
      <w:sz w:val="16"/>
      <w:szCs w:val="16"/>
    </w:rPr>
  </w:style>
  <w:style w:type="paragraph" w:styleId="CommentText">
    <w:name w:val="annotation text"/>
    <w:basedOn w:val="Normal"/>
    <w:link w:val="CommentTextChar"/>
    <w:semiHidden/>
    <w:unhideWhenUsed/>
    <w:locked/>
    <w:rsid w:val="000163B7"/>
    <w:rPr>
      <w:sz w:val="20"/>
      <w:szCs w:val="20"/>
    </w:rPr>
  </w:style>
  <w:style w:type="character" w:customStyle="1" w:styleId="CommentTextChar">
    <w:name w:val="Comment Text Char"/>
    <w:basedOn w:val="DefaultParagraphFont"/>
    <w:link w:val="CommentText"/>
    <w:semiHidden/>
    <w:rsid w:val="000163B7"/>
    <w:rPr>
      <w:rFonts w:ascii="Arial" w:hAnsi="Arial"/>
    </w:rPr>
  </w:style>
  <w:style w:type="paragraph" w:styleId="CommentSubject">
    <w:name w:val="annotation subject"/>
    <w:basedOn w:val="CommentText"/>
    <w:next w:val="CommentText"/>
    <w:link w:val="CommentSubjectChar"/>
    <w:semiHidden/>
    <w:unhideWhenUsed/>
    <w:locked/>
    <w:rsid w:val="000163B7"/>
    <w:rPr>
      <w:b/>
      <w:bCs/>
    </w:rPr>
  </w:style>
  <w:style w:type="character" w:customStyle="1" w:styleId="CommentSubjectChar">
    <w:name w:val="Comment Subject Char"/>
    <w:basedOn w:val="CommentTextChar"/>
    <w:link w:val="CommentSubject"/>
    <w:semiHidden/>
    <w:rsid w:val="000163B7"/>
    <w:rPr>
      <w:rFonts w:ascii="Arial" w:hAnsi="Arial"/>
      <w:b/>
      <w:bCs/>
    </w:rPr>
  </w:style>
  <w:style w:type="paragraph" w:customStyle="1" w:styleId="Body">
    <w:name w:val="Body"/>
    <w:rsid w:val="001E5BCD"/>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default0">
    <w:name w:val="default"/>
    <w:basedOn w:val="Normal"/>
    <w:rsid w:val="00F846CD"/>
    <w:pPr>
      <w:spacing w:before="100" w:beforeAutospacing="1" w:after="100" w:afterAutospacing="1"/>
    </w:pPr>
    <w:rPr>
      <w:rFonts w:ascii="Times New Roman" w:hAnsi="Times New Roman"/>
    </w:rPr>
  </w:style>
  <w:style w:type="paragraph" w:styleId="Quote">
    <w:name w:val="Quote"/>
    <w:basedOn w:val="Normal"/>
    <w:next w:val="Normal"/>
    <w:link w:val="QuoteChar"/>
    <w:uiPriority w:val="29"/>
    <w:qFormat/>
    <w:rsid w:val="00E578BD"/>
    <w:rPr>
      <w:i/>
      <w:iCs/>
      <w:color w:val="000000" w:themeColor="text1"/>
    </w:rPr>
  </w:style>
  <w:style w:type="character" w:customStyle="1" w:styleId="QuoteChar">
    <w:name w:val="Quote Char"/>
    <w:basedOn w:val="DefaultParagraphFont"/>
    <w:link w:val="Quote"/>
    <w:uiPriority w:val="29"/>
    <w:rsid w:val="00E578BD"/>
    <w:rPr>
      <w:rFonts w:ascii="Arial" w:hAnsi="Arial"/>
      <w:i/>
      <w:iCs/>
      <w:color w:val="000000" w:themeColor="text1"/>
      <w:sz w:val="24"/>
      <w:szCs w:val="24"/>
    </w:rPr>
  </w:style>
  <w:style w:type="paragraph" w:styleId="Revision">
    <w:name w:val="Revision"/>
    <w:hidden/>
    <w:uiPriority w:val="99"/>
    <w:semiHidden/>
    <w:rsid w:val="0054490B"/>
    <w:rPr>
      <w:rFonts w:ascii="Arial" w:hAnsi="Arial"/>
      <w:sz w:val="24"/>
      <w:szCs w:val="24"/>
    </w:rPr>
  </w:style>
  <w:style w:type="character" w:customStyle="1" w:styleId="highlightspan">
    <w:name w:val="highlightspan"/>
    <w:basedOn w:val="DefaultParagraphFont"/>
    <w:rsid w:val="001F4C21"/>
  </w:style>
  <w:style w:type="character" w:customStyle="1" w:styleId="element-invisible">
    <w:name w:val="element-invisible"/>
    <w:basedOn w:val="DefaultParagraphFont"/>
    <w:rsid w:val="00C90302"/>
  </w:style>
  <w:style w:type="paragraph" w:customStyle="1" w:styleId="svarticle">
    <w:name w:val="svarticle"/>
    <w:basedOn w:val="Normal"/>
    <w:rsid w:val="00691EDA"/>
    <w:pPr>
      <w:spacing w:before="100" w:beforeAutospacing="1" w:after="100" w:afterAutospacing="1"/>
    </w:pPr>
    <w:rPr>
      <w:rFonts w:ascii="Times New Roman" w:hAnsi="Times New Roman"/>
    </w:rPr>
  </w:style>
  <w:style w:type="paragraph" w:styleId="DocumentMap">
    <w:name w:val="Document Map"/>
    <w:basedOn w:val="Normal"/>
    <w:link w:val="DocumentMapChar"/>
    <w:semiHidden/>
    <w:unhideWhenUsed/>
    <w:locked/>
    <w:rsid w:val="00947615"/>
    <w:pPr>
      <w:spacing w:before="0" w:after="0"/>
    </w:pPr>
    <w:rPr>
      <w:rFonts w:ascii="Lucida Grande" w:hAnsi="Lucida Grande"/>
    </w:rPr>
  </w:style>
  <w:style w:type="character" w:customStyle="1" w:styleId="DocumentMapChar">
    <w:name w:val="Document Map Char"/>
    <w:basedOn w:val="DefaultParagraphFont"/>
    <w:link w:val="DocumentMap"/>
    <w:semiHidden/>
    <w:rsid w:val="00947615"/>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4391">
      <w:bodyDiv w:val="1"/>
      <w:marLeft w:val="0"/>
      <w:marRight w:val="0"/>
      <w:marTop w:val="0"/>
      <w:marBottom w:val="0"/>
      <w:divBdr>
        <w:top w:val="none" w:sz="0" w:space="0" w:color="auto"/>
        <w:left w:val="none" w:sz="0" w:space="0" w:color="auto"/>
        <w:bottom w:val="none" w:sz="0" w:space="0" w:color="auto"/>
        <w:right w:val="none" w:sz="0" w:space="0" w:color="auto"/>
      </w:divBdr>
    </w:div>
    <w:div w:id="28336394">
      <w:bodyDiv w:val="1"/>
      <w:marLeft w:val="0"/>
      <w:marRight w:val="0"/>
      <w:marTop w:val="0"/>
      <w:marBottom w:val="0"/>
      <w:divBdr>
        <w:top w:val="none" w:sz="0" w:space="0" w:color="auto"/>
        <w:left w:val="none" w:sz="0" w:space="0" w:color="auto"/>
        <w:bottom w:val="none" w:sz="0" w:space="0" w:color="auto"/>
        <w:right w:val="none" w:sz="0" w:space="0" w:color="auto"/>
      </w:divBdr>
    </w:div>
    <w:div w:id="35741518">
      <w:bodyDiv w:val="1"/>
      <w:marLeft w:val="0"/>
      <w:marRight w:val="0"/>
      <w:marTop w:val="0"/>
      <w:marBottom w:val="0"/>
      <w:divBdr>
        <w:top w:val="none" w:sz="0" w:space="0" w:color="auto"/>
        <w:left w:val="none" w:sz="0" w:space="0" w:color="auto"/>
        <w:bottom w:val="none" w:sz="0" w:space="0" w:color="auto"/>
        <w:right w:val="none" w:sz="0" w:space="0" w:color="auto"/>
      </w:divBdr>
      <w:divsChild>
        <w:div w:id="1840077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447504">
      <w:bodyDiv w:val="1"/>
      <w:marLeft w:val="0"/>
      <w:marRight w:val="0"/>
      <w:marTop w:val="0"/>
      <w:marBottom w:val="0"/>
      <w:divBdr>
        <w:top w:val="none" w:sz="0" w:space="0" w:color="auto"/>
        <w:left w:val="none" w:sz="0" w:space="0" w:color="auto"/>
        <w:bottom w:val="none" w:sz="0" w:space="0" w:color="auto"/>
        <w:right w:val="none" w:sz="0" w:space="0" w:color="auto"/>
      </w:divBdr>
    </w:div>
    <w:div w:id="46881212">
      <w:bodyDiv w:val="1"/>
      <w:marLeft w:val="0"/>
      <w:marRight w:val="0"/>
      <w:marTop w:val="0"/>
      <w:marBottom w:val="0"/>
      <w:divBdr>
        <w:top w:val="none" w:sz="0" w:space="0" w:color="auto"/>
        <w:left w:val="none" w:sz="0" w:space="0" w:color="auto"/>
        <w:bottom w:val="none" w:sz="0" w:space="0" w:color="auto"/>
        <w:right w:val="none" w:sz="0" w:space="0" w:color="auto"/>
      </w:divBdr>
    </w:div>
    <w:div w:id="131874170">
      <w:bodyDiv w:val="1"/>
      <w:marLeft w:val="0"/>
      <w:marRight w:val="0"/>
      <w:marTop w:val="0"/>
      <w:marBottom w:val="0"/>
      <w:divBdr>
        <w:top w:val="none" w:sz="0" w:space="0" w:color="auto"/>
        <w:left w:val="none" w:sz="0" w:space="0" w:color="auto"/>
        <w:bottom w:val="none" w:sz="0" w:space="0" w:color="auto"/>
        <w:right w:val="none" w:sz="0" w:space="0" w:color="auto"/>
      </w:divBdr>
      <w:divsChild>
        <w:div w:id="1479420243">
          <w:marLeft w:val="0"/>
          <w:marRight w:val="0"/>
          <w:marTop w:val="0"/>
          <w:marBottom w:val="0"/>
          <w:divBdr>
            <w:top w:val="none" w:sz="0" w:space="0" w:color="auto"/>
            <w:left w:val="none" w:sz="0" w:space="0" w:color="auto"/>
            <w:bottom w:val="none" w:sz="0" w:space="0" w:color="auto"/>
            <w:right w:val="none" w:sz="0" w:space="0" w:color="auto"/>
          </w:divBdr>
        </w:div>
        <w:div w:id="1736119411">
          <w:marLeft w:val="0"/>
          <w:marRight w:val="0"/>
          <w:marTop w:val="0"/>
          <w:marBottom w:val="0"/>
          <w:divBdr>
            <w:top w:val="none" w:sz="0" w:space="0" w:color="auto"/>
            <w:left w:val="none" w:sz="0" w:space="0" w:color="auto"/>
            <w:bottom w:val="none" w:sz="0" w:space="0" w:color="auto"/>
            <w:right w:val="none" w:sz="0" w:space="0" w:color="auto"/>
          </w:divBdr>
        </w:div>
        <w:div w:id="2088188553">
          <w:marLeft w:val="0"/>
          <w:marRight w:val="0"/>
          <w:marTop w:val="0"/>
          <w:marBottom w:val="0"/>
          <w:divBdr>
            <w:top w:val="none" w:sz="0" w:space="0" w:color="auto"/>
            <w:left w:val="none" w:sz="0" w:space="0" w:color="auto"/>
            <w:bottom w:val="none" w:sz="0" w:space="0" w:color="auto"/>
            <w:right w:val="none" w:sz="0" w:space="0" w:color="auto"/>
          </w:divBdr>
        </w:div>
        <w:div w:id="627858586">
          <w:marLeft w:val="0"/>
          <w:marRight w:val="0"/>
          <w:marTop w:val="0"/>
          <w:marBottom w:val="0"/>
          <w:divBdr>
            <w:top w:val="none" w:sz="0" w:space="0" w:color="auto"/>
            <w:left w:val="none" w:sz="0" w:space="0" w:color="auto"/>
            <w:bottom w:val="none" w:sz="0" w:space="0" w:color="auto"/>
            <w:right w:val="none" w:sz="0" w:space="0" w:color="auto"/>
          </w:divBdr>
        </w:div>
        <w:div w:id="605699409">
          <w:marLeft w:val="0"/>
          <w:marRight w:val="0"/>
          <w:marTop w:val="0"/>
          <w:marBottom w:val="0"/>
          <w:divBdr>
            <w:top w:val="none" w:sz="0" w:space="0" w:color="auto"/>
            <w:left w:val="none" w:sz="0" w:space="0" w:color="auto"/>
            <w:bottom w:val="none" w:sz="0" w:space="0" w:color="auto"/>
            <w:right w:val="none" w:sz="0" w:space="0" w:color="auto"/>
          </w:divBdr>
        </w:div>
        <w:div w:id="1402143311">
          <w:marLeft w:val="0"/>
          <w:marRight w:val="0"/>
          <w:marTop w:val="0"/>
          <w:marBottom w:val="0"/>
          <w:divBdr>
            <w:top w:val="none" w:sz="0" w:space="0" w:color="auto"/>
            <w:left w:val="none" w:sz="0" w:space="0" w:color="auto"/>
            <w:bottom w:val="none" w:sz="0" w:space="0" w:color="auto"/>
            <w:right w:val="none" w:sz="0" w:space="0" w:color="auto"/>
          </w:divBdr>
        </w:div>
        <w:div w:id="573779685">
          <w:marLeft w:val="0"/>
          <w:marRight w:val="0"/>
          <w:marTop w:val="0"/>
          <w:marBottom w:val="0"/>
          <w:divBdr>
            <w:top w:val="none" w:sz="0" w:space="0" w:color="auto"/>
            <w:left w:val="none" w:sz="0" w:space="0" w:color="auto"/>
            <w:bottom w:val="none" w:sz="0" w:space="0" w:color="auto"/>
            <w:right w:val="none" w:sz="0" w:space="0" w:color="auto"/>
          </w:divBdr>
        </w:div>
        <w:div w:id="711151117">
          <w:marLeft w:val="0"/>
          <w:marRight w:val="0"/>
          <w:marTop w:val="0"/>
          <w:marBottom w:val="0"/>
          <w:divBdr>
            <w:top w:val="none" w:sz="0" w:space="0" w:color="auto"/>
            <w:left w:val="none" w:sz="0" w:space="0" w:color="auto"/>
            <w:bottom w:val="none" w:sz="0" w:space="0" w:color="auto"/>
            <w:right w:val="none" w:sz="0" w:space="0" w:color="auto"/>
          </w:divBdr>
        </w:div>
        <w:div w:id="2041540736">
          <w:marLeft w:val="0"/>
          <w:marRight w:val="0"/>
          <w:marTop w:val="0"/>
          <w:marBottom w:val="0"/>
          <w:divBdr>
            <w:top w:val="none" w:sz="0" w:space="0" w:color="auto"/>
            <w:left w:val="none" w:sz="0" w:space="0" w:color="auto"/>
            <w:bottom w:val="none" w:sz="0" w:space="0" w:color="auto"/>
            <w:right w:val="none" w:sz="0" w:space="0" w:color="auto"/>
          </w:divBdr>
        </w:div>
        <w:div w:id="137038770">
          <w:marLeft w:val="0"/>
          <w:marRight w:val="0"/>
          <w:marTop w:val="0"/>
          <w:marBottom w:val="0"/>
          <w:divBdr>
            <w:top w:val="none" w:sz="0" w:space="0" w:color="auto"/>
            <w:left w:val="none" w:sz="0" w:space="0" w:color="auto"/>
            <w:bottom w:val="none" w:sz="0" w:space="0" w:color="auto"/>
            <w:right w:val="none" w:sz="0" w:space="0" w:color="auto"/>
          </w:divBdr>
        </w:div>
        <w:div w:id="641231976">
          <w:marLeft w:val="0"/>
          <w:marRight w:val="0"/>
          <w:marTop w:val="0"/>
          <w:marBottom w:val="0"/>
          <w:divBdr>
            <w:top w:val="none" w:sz="0" w:space="0" w:color="auto"/>
            <w:left w:val="none" w:sz="0" w:space="0" w:color="auto"/>
            <w:bottom w:val="none" w:sz="0" w:space="0" w:color="auto"/>
            <w:right w:val="none" w:sz="0" w:space="0" w:color="auto"/>
          </w:divBdr>
        </w:div>
        <w:div w:id="1920865316">
          <w:marLeft w:val="0"/>
          <w:marRight w:val="0"/>
          <w:marTop w:val="0"/>
          <w:marBottom w:val="0"/>
          <w:divBdr>
            <w:top w:val="none" w:sz="0" w:space="0" w:color="auto"/>
            <w:left w:val="none" w:sz="0" w:space="0" w:color="auto"/>
            <w:bottom w:val="none" w:sz="0" w:space="0" w:color="auto"/>
            <w:right w:val="none" w:sz="0" w:space="0" w:color="auto"/>
          </w:divBdr>
        </w:div>
        <w:div w:id="970403994">
          <w:marLeft w:val="0"/>
          <w:marRight w:val="0"/>
          <w:marTop w:val="0"/>
          <w:marBottom w:val="0"/>
          <w:divBdr>
            <w:top w:val="none" w:sz="0" w:space="0" w:color="auto"/>
            <w:left w:val="none" w:sz="0" w:space="0" w:color="auto"/>
            <w:bottom w:val="none" w:sz="0" w:space="0" w:color="auto"/>
            <w:right w:val="none" w:sz="0" w:space="0" w:color="auto"/>
          </w:divBdr>
        </w:div>
        <w:div w:id="400905405">
          <w:marLeft w:val="0"/>
          <w:marRight w:val="0"/>
          <w:marTop w:val="0"/>
          <w:marBottom w:val="0"/>
          <w:divBdr>
            <w:top w:val="none" w:sz="0" w:space="0" w:color="auto"/>
            <w:left w:val="none" w:sz="0" w:space="0" w:color="auto"/>
            <w:bottom w:val="none" w:sz="0" w:space="0" w:color="auto"/>
            <w:right w:val="none" w:sz="0" w:space="0" w:color="auto"/>
          </w:divBdr>
        </w:div>
        <w:div w:id="2142652669">
          <w:marLeft w:val="760"/>
          <w:marRight w:val="0"/>
          <w:marTop w:val="0"/>
          <w:marBottom w:val="0"/>
          <w:divBdr>
            <w:top w:val="none" w:sz="0" w:space="0" w:color="auto"/>
            <w:left w:val="none" w:sz="0" w:space="0" w:color="auto"/>
            <w:bottom w:val="none" w:sz="0" w:space="0" w:color="auto"/>
            <w:right w:val="none" w:sz="0" w:space="0" w:color="auto"/>
          </w:divBdr>
        </w:div>
        <w:div w:id="625165898">
          <w:marLeft w:val="760"/>
          <w:marRight w:val="0"/>
          <w:marTop w:val="0"/>
          <w:marBottom w:val="0"/>
          <w:divBdr>
            <w:top w:val="none" w:sz="0" w:space="0" w:color="auto"/>
            <w:left w:val="none" w:sz="0" w:space="0" w:color="auto"/>
            <w:bottom w:val="none" w:sz="0" w:space="0" w:color="auto"/>
            <w:right w:val="none" w:sz="0" w:space="0" w:color="auto"/>
          </w:divBdr>
        </w:div>
        <w:div w:id="789737477">
          <w:marLeft w:val="1080"/>
          <w:marRight w:val="0"/>
          <w:marTop w:val="0"/>
          <w:marBottom w:val="0"/>
          <w:divBdr>
            <w:top w:val="none" w:sz="0" w:space="0" w:color="auto"/>
            <w:left w:val="none" w:sz="0" w:space="0" w:color="auto"/>
            <w:bottom w:val="none" w:sz="0" w:space="0" w:color="auto"/>
            <w:right w:val="none" w:sz="0" w:space="0" w:color="auto"/>
          </w:divBdr>
        </w:div>
        <w:div w:id="463426306">
          <w:marLeft w:val="1080"/>
          <w:marRight w:val="0"/>
          <w:marTop w:val="0"/>
          <w:marBottom w:val="0"/>
          <w:divBdr>
            <w:top w:val="none" w:sz="0" w:space="0" w:color="auto"/>
            <w:left w:val="none" w:sz="0" w:space="0" w:color="auto"/>
            <w:bottom w:val="none" w:sz="0" w:space="0" w:color="auto"/>
            <w:right w:val="none" w:sz="0" w:space="0" w:color="auto"/>
          </w:divBdr>
        </w:div>
        <w:div w:id="483203988">
          <w:marLeft w:val="1080"/>
          <w:marRight w:val="0"/>
          <w:marTop w:val="0"/>
          <w:marBottom w:val="0"/>
          <w:divBdr>
            <w:top w:val="none" w:sz="0" w:space="0" w:color="auto"/>
            <w:left w:val="none" w:sz="0" w:space="0" w:color="auto"/>
            <w:bottom w:val="none" w:sz="0" w:space="0" w:color="auto"/>
            <w:right w:val="none" w:sz="0" w:space="0" w:color="auto"/>
          </w:divBdr>
        </w:div>
        <w:div w:id="175928128">
          <w:marLeft w:val="1080"/>
          <w:marRight w:val="0"/>
          <w:marTop w:val="0"/>
          <w:marBottom w:val="0"/>
          <w:divBdr>
            <w:top w:val="none" w:sz="0" w:space="0" w:color="auto"/>
            <w:left w:val="none" w:sz="0" w:space="0" w:color="auto"/>
            <w:bottom w:val="none" w:sz="0" w:space="0" w:color="auto"/>
            <w:right w:val="none" w:sz="0" w:space="0" w:color="auto"/>
          </w:divBdr>
        </w:div>
        <w:div w:id="92409658">
          <w:marLeft w:val="1080"/>
          <w:marRight w:val="0"/>
          <w:marTop w:val="0"/>
          <w:marBottom w:val="0"/>
          <w:divBdr>
            <w:top w:val="none" w:sz="0" w:space="0" w:color="auto"/>
            <w:left w:val="none" w:sz="0" w:space="0" w:color="auto"/>
            <w:bottom w:val="none" w:sz="0" w:space="0" w:color="auto"/>
            <w:right w:val="none" w:sz="0" w:space="0" w:color="auto"/>
          </w:divBdr>
        </w:div>
        <w:div w:id="547492949">
          <w:marLeft w:val="1080"/>
          <w:marRight w:val="0"/>
          <w:marTop w:val="0"/>
          <w:marBottom w:val="0"/>
          <w:divBdr>
            <w:top w:val="none" w:sz="0" w:space="0" w:color="auto"/>
            <w:left w:val="none" w:sz="0" w:space="0" w:color="auto"/>
            <w:bottom w:val="none" w:sz="0" w:space="0" w:color="auto"/>
            <w:right w:val="none" w:sz="0" w:space="0" w:color="auto"/>
          </w:divBdr>
        </w:div>
        <w:div w:id="502159651">
          <w:marLeft w:val="0"/>
          <w:marRight w:val="0"/>
          <w:marTop w:val="0"/>
          <w:marBottom w:val="0"/>
          <w:divBdr>
            <w:top w:val="none" w:sz="0" w:space="0" w:color="auto"/>
            <w:left w:val="none" w:sz="0" w:space="0" w:color="auto"/>
            <w:bottom w:val="none" w:sz="0" w:space="0" w:color="auto"/>
            <w:right w:val="none" w:sz="0" w:space="0" w:color="auto"/>
          </w:divBdr>
        </w:div>
        <w:div w:id="816916269">
          <w:marLeft w:val="0"/>
          <w:marRight w:val="0"/>
          <w:marTop w:val="0"/>
          <w:marBottom w:val="0"/>
          <w:divBdr>
            <w:top w:val="none" w:sz="0" w:space="0" w:color="auto"/>
            <w:left w:val="none" w:sz="0" w:space="0" w:color="auto"/>
            <w:bottom w:val="none" w:sz="0" w:space="0" w:color="auto"/>
            <w:right w:val="none" w:sz="0" w:space="0" w:color="auto"/>
          </w:divBdr>
        </w:div>
      </w:divsChild>
    </w:div>
    <w:div w:id="148835529">
      <w:bodyDiv w:val="1"/>
      <w:marLeft w:val="0"/>
      <w:marRight w:val="0"/>
      <w:marTop w:val="0"/>
      <w:marBottom w:val="0"/>
      <w:divBdr>
        <w:top w:val="none" w:sz="0" w:space="0" w:color="auto"/>
        <w:left w:val="none" w:sz="0" w:space="0" w:color="auto"/>
        <w:bottom w:val="none" w:sz="0" w:space="0" w:color="auto"/>
        <w:right w:val="none" w:sz="0" w:space="0" w:color="auto"/>
      </w:divBdr>
    </w:div>
    <w:div w:id="185875337">
      <w:bodyDiv w:val="1"/>
      <w:marLeft w:val="0"/>
      <w:marRight w:val="0"/>
      <w:marTop w:val="0"/>
      <w:marBottom w:val="0"/>
      <w:divBdr>
        <w:top w:val="none" w:sz="0" w:space="0" w:color="auto"/>
        <w:left w:val="none" w:sz="0" w:space="0" w:color="auto"/>
        <w:bottom w:val="none" w:sz="0" w:space="0" w:color="auto"/>
        <w:right w:val="none" w:sz="0" w:space="0" w:color="auto"/>
      </w:divBdr>
    </w:div>
    <w:div w:id="217400408">
      <w:bodyDiv w:val="1"/>
      <w:marLeft w:val="0"/>
      <w:marRight w:val="0"/>
      <w:marTop w:val="0"/>
      <w:marBottom w:val="0"/>
      <w:divBdr>
        <w:top w:val="none" w:sz="0" w:space="0" w:color="auto"/>
        <w:left w:val="none" w:sz="0" w:space="0" w:color="auto"/>
        <w:bottom w:val="none" w:sz="0" w:space="0" w:color="auto"/>
        <w:right w:val="none" w:sz="0" w:space="0" w:color="auto"/>
      </w:divBdr>
    </w:div>
    <w:div w:id="224801127">
      <w:bodyDiv w:val="1"/>
      <w:marLeft w:val="0"/>
      <w:marRight w:val="0"/>
      <w:marTop w:val="0"/>
      <w:marBottom w:val="0"/>
      <w:divBdr>
        <w:top w:val="none" w:sz="0" w:space="0" w:color="auto"/>
        <w:left w:val="none" w:sz="0" w:space="0" w:color="auto"/>
        <w:bottom w:val="none" w:sz="0" w:space="0" w:color="auto"/>
        <w:right w:val="none" w:sz="0" w:space="0" w:color="auto"/>
      </w:divBdr>
      <w:divsChild>
        <w:div w:id="1772118596">
          <w:marLeft w:val="0"/>
          <w:marRight w:val="0"/>
          <w:marTop w:val="0"/>
          <w:marBottom w:val="0"/>
          <w:divBdr>
            <w:top w:val="none" w:sz="0" w:space="0" w:color="auto"/>
            <w:left w:val="none" w:sz="0" w:space="0" w:color="auto"/>
            <w:bottom w:val="none" w:sz="0" w:space="0" w:color="auto"/>
            <w:right w:val="none" w:sz="0" w:space="0" w:color="auto"/>
          </w:divBdr>
        </w:div>
        <w:div w:id="1934701812">
          <w:marLeft w:val="0"/>
          <w:marRight w:val="0"/>
          <w:marTop w:val="0"/>
          <w:marBottom w:val="0"/>
          <w:divBdr>
            <w:top w:val="none" w:sz="0" w:space="0" w:color="auto"/>
            <w:left w:val="none" w:sz="0" w:space="0" w:color="auto"/>
            <w:bottom w:val="none" w:sz="0" w:space="0" w:color="auto"/>
            <w:right w:val="none" w:sz="0" w:space="0" w:color="auto"/>
          </w:divBdr>
        </w:div>
        <w:div w:id="309020066">
          <w:marLeft w:val="0"/>
          <w:marRight w:val="0"/>
          <w:marTop w:val="0"/>
          <w:marBottom w:val="0"/>
          <w:divBdr>
            <w:top w:val="none" w:sz="0" w:space="0" w:color="auto"/>
            <w:left w:val="none" w:sz="0" w:space="0" w:color="auto"/>
            <w:bottom w:val="none" w:sz="0" w:space="0" w:color="auto"/>
            <w:right w:val="none" w:sz="0" w:space="0" w:color="auto"/>
          </w:divBdr>
        </w:div>
        <w:div w:id="1799840378">
          <w:marLeft w:val="0"/>
          <w:marRight w:val="0"/>
          <w:marTop w:val="0"/>
          <w:marBottom w:val="0"/>
          <w:divBdr>
            <w:top w:val="none" w:sz="0" w:space="0" w:color="auto"/>
            <w:left w:val="none" w:sz="0" w:space="0" w:color="auto"/>
            <w:bottom w:val="none" w:sz="0" w:space="0" w:color="auto"/>
            <w:right w:val="none" w:sz="0" w:space="0" w:color="auto"/>
          </w:divBdr>
        </w:div>
      </w:divsChild>
    </w:div>
    <w:div w:id="262342151">
      <w:bodyDiv w:val="1"/>
      <w:marLeft w:val="0"/>
      <w:marRight w:val="0"/>
      <w:marTop w:val="0"/>
      <w:marBottom w:val="0"/>
      <w:divBdr>
        <w:top w:val="none" w:sz="0" w:space="0" w:color="auto"/>
        <w:left w:val="none" w:sz="0" w:space="0" w:color="auto"/>
        <w:bottom w:val="none" w:sz="0" w:space="0" w:color="auto"/>
        <w:right w:val="none" w:sz="0" w:space="0" w:color="auto"/>
      </w:divBdr>
    </w:div>
    <w:div w:id="289096968">
      <w:bodyDiv w:val="1"/>
      <w:marLeft w:val="0"/>
      <w:marRight w:val="0"/>
      <w:marTop w:val="0"/>
      <w:marBottom w:val="0"/>
      <w:divBdr>
        <w:top w:val="none" w:sz="0" w:space="0" w:color="auto"/>
        <w:left w:val="none" w:sz="0" w:space="0" w:color="auto"/>
        <w:bottom w:val="none" w:sz="0" w:space="0" w:color="auto"/>
        <w:right w:val="none" w:sz="0" w:space="0" w:color="auto"/>
      </w:divBdr>
    </w:div>
    <w:div w:id="291594860">
      <w:bodyDiv w:val="1"/>
      <w:marLeft w:val="0"/>
      <w:marRight w:val="0"/>
      <w:marTop w:val="0"/>
      <w:marBottom w:val="0"/>
      <w:divBdr>
        <w:top w:val="none" w:sz="0" w:space="0" w:color="auto"/>
        <w:left w:val="none" w:sz="0" w:space="0" w:color="auto"/>
        <w:bottom w:val="none" w:sz="0" w:space="0" w:color="auto"/>
        <w:right w:val="none" w:sz="0" w:space="0" w:color="auto"/>
      </w:divBdr>
    </w:div>
    <w:div w:id="312564297">
      <w:bodyDiv w:val="1"/>
      <w:marLeft w:val="0"/>
      <w:marRight w:val="0"/>
      <w:marTop w:val="0"/>
      <w:marBottom w:val="0"/>
      <w:divBdr>
        <w:top w:val="none" w:sz="0" w:space="0" w:color="auto"/>
        <w:left w:val="none" w:sz="0" w:space="0" w:color="auto"/>
        <w:bottom w:val="none" w:sz="0" w:space="0" w:color="auto"/>
        <w:right w:val="none" w:sz="0" w:space="0" w:color="auto"/>
      </w:divBdr>
    </w:div>
    <w:div w:id="325986430">
      <w:bodyDiv w:val="1"/>
      <w:marLeft w:val="0"/>
      <w:marRight w:val="0"/>
      <w:marTop w:val="0"/>
      <w:marBottom w:val="0"/>
      <w:divBdr>
        <w:top w:val="none" w:sz="0" w:space="0" w:color="auto"/>
        <w:left w:val="none" w:sz="0" w:space="0" w:color="auto"/>
        <w:bottom w:val="none" w:sz="0" w:space="0" w:color="auto"/>
        <w:right w:val="none" w:sz="0" w:space="0" w:color="auto"/>
      </w:divBdr>
    </w:div>
    <w:div w:id="369957534">
      <w:bodyDiv w:val="1"/>
      <w:marLeft w:val="0"/>
      <w:marRight w:val="0"/>
      <w:marTop w:val="0"/>
      <w:marBottom w:val="0"/>
      <w:divBdr>
        <w:top w:val="none" w:sz="0" w:space="0" w:color="auto"/>
        <w:left w:val="none" w:sz="0" w:space="0" w:color="auto"/>
        <w:bottom w:val="none" w:sz="0" w:space="0" w:color="auto"/>
        <w:right w:val="none" w:sz="0" w:space="0" w:color="auto"/>
      </w:divBdr>
    </w:div>
    <w:div w:id="411046982">
      <w:bodyDiv w:val="1"/>
      <w:marLeft w:val="0"/>
      <w:marRight w:val="0"/>
      <w:marTop w:val="0"/>
      <w:marBottom w:val="0"/>
      <w:divBdr>
        <w:top w:val="none" w:sz="0" w:space="0" w:color="auto"/>
        <w:left w:val="none" w:sz="0" w:space="0" w:color="auto"/>
        <w:bottom w:val="none" w:sz="0" w:space="0" w:color="auto"/>
        <w:right w:val="none" w:sz="0" w:space="0" w:color="auto"/>
      </w:divBdr>
      <w:divsChild>
        <w:div w:id="143276677">
          <w:marLeft w:val="0"/>
          <w:marRight w:val="0"/>
          <w:marTop w:val="0"/>
          <w:marBottom w:val="0"/>
          <w:divBdr>
            <w:top w:val="none" w:sz="0" w:space="0" w:color="auto"/>
            <w:left w:val="none" w:sz="0" w:space="0" w:color="auto"/>
            <w:bottom w:val="none" w:sz="0" w:space="0" w:color="auto"/>
            <w:right w:val="none" w:sz="0" w:space="0" w:color="auto"/>
          </w:divBdr>
          <w:divsChild>
            <w:div w:id="1957798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7391394">
      <w:bodyDiv w:val="1"/>
      <w:marLeft w:val="0"/>
      <w:marRight w:val="0"/>
      <w:marTop w:val="0"/>
      <w:marBottom w:val="0"/>
      <w:divBdr>
        <w:top w:val="none" w:sz="0" w:space="0" w:color="auto"/>
        <w:left w:val="none" w:sz="0" w:space="0" w:color="auto"/>
        <w:bottom w:val="none" w:sz="0" w:space="0" w:color="auto"/>
        <w:right w:val="none" w:sz="0" w:space="0" w:color="auto"/>
      </w:divBdr>
    </w:div>
    <w:div w:id="427897461">
      <w:bodyDiv w:val="1"/>
      <w:marLeft w:val="0"/>
      <w:marRight w:val="0"/>
      <w:marTop w:val="0"/>
      <w:marBottom w:val="0"/>
      <w:divBdr>
        <w:top w:val="none" w:sz="0" w:space="0" w:color="auto"/>
        <w:left w:val="none" w:sz="0" w:space="0" w:color="auto"/>
        <w:bottom w:val="none" w:sz="0" w:space="0" w:color="auto"/>
        <w:right w:val="none" w:sz="0" w:space="0" w:color="auto"/>
      </w:divBdr>
    </w:div>
    <w:div w:id="437140198">
      <w:bodyDiv w:val="1"/>
      <w:marLeft w:val="0"/>
      <w:marRight w:val="0"/>
      <w:marTop w:val="0"/>
      <w:marBottom w:val="0"/>
      <w:divBdr>
        <w:top w:val="none" w:sz="0" w:space="0" w:color="auto"/>
        <w:left w:val="none" w:sz="0" w:space="0" w:color="auto"/>
        <w:bottom w:val="none" w:sz="0" w:space="0" w:color="auto"/>
        <w:right w:val="none" w:sz="0" w:space="0" w:color="auto"/>
      </w:divBdr>
    </w:div>
    <w:div w:id="441730603">
      <w:bodyDiv w:val="1"/>
      <w:marLeft w:val="0"/>
      <w:marRight w:val="0"/>
      <w:marTop w:val="0"/>
      <w:marBottom w:val="0"/>
      <w:divBdr>
        <w:top w:val="none" w:sz="0" w:space="0" w:color="auto"/>
        <w:left w:val="none" w:sz="0" w:space="0" w:color="auto"/>
        <w:bottom w:val="none" w:sz="0" w:space="0" w:color="auto"/>
        <w:right w:val="none" w:sz="0" w:space="0" w:color="auto"/>
      </w:divBdr>
    </w:div>
    <w:div w:id="450129484">
      <w:bodyDiv w:val="1"/>
      <w:marLeft w:val="0"/>
      <w:marRight w:val="0"/>
      <w:marTop w:val="0"/>
      <w:marBottom w:val="0"/>
      <w:divBdr>
        <w:top w:val="none" w:sz="0" w:space="0" w:color="auto"/>
        <w:left w:val="none" w:sz="0" w:space="0" w:color="auto"/>
        <w:bottom w:val="none" w:sz="0" w:space="0" w:color="auto"/>
        <w:right w:val="none" w:sz="0" w:space="0" w:color="auto"/>
      </w:divBdr>
    </w:div>
    <w:div w:id="472258767">
      <w:bodyDiv w:val="1"/>
      <w:marLeft w:val="0"/>
      <w:marRight w:val="0"/>
      <w:marTop w:val="0"/>
      <w:marBottom w:val="0"/>
      <w:divBdr>
        <w:top w:val="none" w:sz="0" w:space="0" w:color="auto"/>
        <w:left w:val="none" w:sz="0" w:space="0" w:color="auto"/>
        <w:bottom w:val="none" w:sz="0" w:space="0" w:color="auto"/>
        <w:right w:val="none" w:sz="0" w:space="0" w:color="auto"/>
      </w:divBdr>
      <w:divsChild>
        <w:div w:id="636033676">
          <w:marLeft w:val="0"/>
          <w:marRight w:val="0"/>
          <w:marTop w:val="0"/>
          <w:marBottom w:val="0"/>
          <w:divBdr>
            <w:top w:val="none" w:sz="0" w:space="0" w:color="auto"/>
            <w:left w:val="none" w:sz="0" w:space="0" w:color="auto"/>
            <w:bottom w:val="none" w:sz="0" w:space="0" w:color="auto"/>
            <w:right w:val="none" w:sz="0" w:space="0" w:color="auto"/>
          </w:divBdr>
        </w:div>
        <w:div w:id="199322044">
          <w:marLeft w:val="0"/>
          <w:marRight w:val="0"/>
          <w:marTop w:val="0"/>
          <w:marBottom w:val="0"/>
          <w:divBdr>
            <w:top w:val="none" w:sz="0" w:space="0" w:color="auto"/>
            <w:left w:val="none" w:sz="0" w:space="0" w:color="auto"/>
            <w:bottom w:val="none" w:sz="0" w:space="0" w:color="auto"/>
            <w:right w:val="none" w:sz="0" w:space="0" w:color="auto"/>
          </w:divBdr>
        </w:div>
        <w:div w:id="2090734571">
          <w:marLeft w:val="0"/>
          <w:marRight w:val="0"/>
          <w:marTop w:val="0"/>
          <w:marBottom w:val="0"/>
          <w:divBdr>
            <w:top w:val="none" w:sz="0" w:space="0" w:color="auto"/>
            <w:left w:val="none" w:sz="0" w:space="0" w:color="auto"/>
            <w:bottom w:val="none" w:sz="0" w:space="0" w:color="auto"/>
            <w:right w:val="none" w:sz="0" w:space="0" w:color="auto"/>
          </w:divBdr>
        </w:div>
      </w:divsChild>
    </w:div>
    <w:div w:id="503738591">
      <w:bodyDiv w:val="1"/>
      <w:marLeft w:val="0"/>
      <w:marRight w:val="0"/>
      <w:marTop w:val="0"/>
      <w:marBottom w:val="0"/>
      <w:divBdr>
        <w:top w:val="none" w:sz="0" w:space="0" w:color="auto"/>
        <w:left w:val="none" w:sz="0" w:space="0" w:color="auto"/>
        <w:bottom w:val="none" w:sz="0" w:space="0" w:color="auto"/>
        <w:right w:val="none" w:sz="0" w:space="0" w:color="auto"/>
      </w:divBdr>
    </w:div>
    <w:div w:id="516769096">
      <w:bodyDiv w:val="1"/>
      <w:marLeft w:val="0"/>
      <w:marRight w:val="0"/>
      <w:marTop w:val="0"/>
      <w:marBottom w:val="0"/>
      <w:divBdr>
        <w:top w:val="none" w:sz="0" w:space="0" w:color="auto"/>
        <w:left w:val="none" w:sz="0" w:space="0" w:color="auto"/>
        <w:bottom w:val="none" w:sz="0" w:space="0" w:color="auto"/>
        <w:right w:val="none" w:sz="0" w:space="0" w:color="auto"/>
      </w:divBdr>
    </w:div>
    <w:div w:id="521940977">
      <w:bodyDiv w:val="1"/>
      <w:marLeft w:val="0"/>
      <w:marRight w:val="0"/>
      <w:marTop w:val="0"/>
      <w:marBottom w:val="0"/>
      <w:divBdr>
        <w:top w:val="none" w:sz="0" w:space="0" w:color="auto"/>
        <w:left w:val="none" w:sz="0" w:space="0" w:color="auto"/>
        <w:bottom w:val="none" w:sz="0" w:space="0" w:color="auto"/>
        <w:right w:val="none" w:sz="0" w:space="0" w:color="auto"/>
      </w:divBdr>
    </w:div>
    <w:div w:id="530728462">
      <w:bodyDiv w:val="1"/>
      <w:marLeft w:val="0"/>
      <w:marRight w:val="0"/>
      <w:marTop w:val="0"/>
      <w:marBottom w:val="0"/>
      <w:divBdr>
        <w:top w:val="none" w:sz="0" w:space="0" w:color="auto"/>
        <w:left w:val="none" w:sz="0" w:space="0" w:color="auto"/>
        <w:bottom w:val="none" w:sz="0" w:space="0" w:color="auto"/>
        <w:right w:val="none" w:sz="0" w:space="0" w:color="auto"/>
      </w:divBdr>
    </w:div>
    <w:div w:id="544028192">
      <w:bodyDiv w:val="1"/>
      <w:marLeft w:val="0"/>
      <w:marRight w:val="0"/>
      <w:marTop w:val="0"/>
      <w:marBottom w:val="0"/>
      <w:divBdr>
        <w:top w:val="none" w:sz="0" w:space="0" w:color="auto"/>
        <w:left w:val="none" w:sz="0" w:space="0" w:color="auto"/>
        <w:bottom w:val="none" w:sz="0" w:space="0" w:color="auto"/>
        <w:right w:val="none" w:sz="0" w:space="0" w:color="auto"/>
      </w:divBdr>
    </w:div>
    <w:div w:id="553542931">
      <w:bodyDiv w:val="1"/>
      <w:marLeft w:val="0"/>
      <w:marRight w:val="0"/>
      <w:marTop w:val="0"/>
      <w:marBottom w:val="0"/>
      <w:divBdr>
        <w:top w:val="none" w:sz="0" w:space="0" w:color="auto"/>
        <w:left w:val="none" w:sz="0" w:space="0" w:color="auto"/>
        <w:bottom w:val="none" w:sz="0" w:space="0" w:color="auto"/>
        <w:right w:val="none" w:sz="0" w:space="0" w:color="auto"/>
      </w:divBdr>
      <w:divsChild>
        <w:div w:id="1638147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600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52593346">
          <w:blockQuote w:val="1"/>
          <w:marLeft w:val="720"/>
          <w:marRight w:val="720"/>
          <w:marTop w:val="100"/>
          <w:marBottom w:val="100"/>
          <w:divBdr>
            <w:top w:val="none" w:sz="0" w:space="0" w:color="auto"/>
            <w:left w:val="none" w:sz="0" w:space="0" w:color="auto"/>
            <w:bottom w:val="none" w:sz="0" w:space="0" w:color="auto"/>
            <w:right w:val="none" w:sz="0" w:space="0" w:color="auto"/>
          </w:divBdr>
        </w:div>
        <w:div w:id="281886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290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46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197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672600">
          <w:blockQuote w:val="1"/>
          <w:marLeft w:val="720"/>
          <w:marRight w:val="720"/>
          <w:marTop w:val="100"/>
          <w:marBottom w:val="100"/>
          <w:divBdr>
            <w:top w:val="none" w:sz="0" w:space="0" w:color="auto"/>
            <w:left w:val="none" w:sz="0" w:space="0" w:color="auto"/>
            <w:bottom w:val="none" w:sz="0" w:space="0" w:color="auto"/>
            <w:right w:val="none" w:sz="0" w:space="0" w:color="auto"/>
          </w:divBdr>
        </w:div>
        <w:div w:id="866993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700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94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832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7037058">
          <w:blockQuote w:val="1"/>
          <w:marLeft w:val="720"/>
          <w:marRight w:val="720"/>
          <w:marTop w:val="100"/>
          <w:marBottom w:val="100"/>
          <w:divBdr>
            <w:top w:val="none" w:sz="0" w:space="0" w:color="auto"/>
            <w:left w:val="none" w:sz="0" w:space="0" w:color="auto"/>
            <w:bottom w:val="none" w:sz="0" w:space="0" w:color="auto"/>
            <w:right w:val="none" w:sz="0" w:space="0" w:color="auto"/>
          </w:divBdr>
        </w:div>
        <w:div w:id="980577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816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945576">
          <w:blockQuote w:val="1"/>
          <w:marLeft w:val="720"/>
          <w:marRight w:val="720"/>
          <w:marTop w:val="100"/>
          <w:marBottom w:val="100"/>
          <w:divBdr>
            <w:top w:val="none" w:sz="0" w:space="0" w:color="auto"/>
            <w:left w:val="none" w:sz="0" w:space="0" w:color="auto"/>
            <w:bottom w:val="none" w:sz="0" w:space="0" w:color="auto"/>
            <w:right w:val="none" w:sz="0" w:space="0" w:color="auto"/>
          </w:divBdr>
        </w:div>
        <w:div w:id="856888096">
          <w:blockQuote w:val="1"/>
          <w:marLeft w:val="720"/>
          <w:marRight w:val="720"/>
          <w:marTop w:val="100"/>
          <w:marBottom w:val="100"/>
          <w:divBdr>
            <w:top w:val="none" w:sz="0" w:space="0" w:color="auto"/>
            <w:left w:val="none" w:sz="0" w:space="0" w:color="auto"/>
            <w:bottom w:val="none" w:sz="0" w:space="0" w:color="auto"/>
            <w:right w:val="none" w:sz="0" w:space="0" w:color="auto"/>
          </w:divBdr>
        </w:div>
        <w:div w:id="787697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2812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008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44321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771553">
          <w:blockQuote w:val="1"/>
          <w:marLeft w:val="720"/>
          <w:marRight w:val="720"/>
          <w:marTop w:val="100"/>
          <w:marBottom w:val="100"/>
          <w:divBdr>
            <w:top w:val="none" w:sz="0" w:space="0" w:color="auto"/>
            <w:left w:val="none" w:sz="0" w:space="0" w:color="auto"/>
            <w:bottom w:val="none" w:sz="0" w:space="0" w:color="auto"/>
            <w:right w:val="none" w:sz="0" w:space="0" w:color="auto"/>
          </w:divBdr>
        </w:div>
        <w:div w:id="830943947">
          <w:blockQuote w:val="1"/>
          <w:marLeft w:val="720"/>
          <w:marRight w:val="720"/>
          <w:marTop w:val="100"/>
          <w:marBottom w:val="100"/>
          <w:divBdr>
            <w:top w:val="none" w:sz="0" w:space="0" w:color="auto"/>
            <w:left w:val="none" w:sz="0" w:space="0" w:color="auto"/>
            <w:bottom w:val="none" w:sz="0" w:space="0" w:color="auto"/>
            <w:right w:val="none" w:sz="0" w:space="0" w:color="auto"/>
          </w:divBdr>
        </w:div>
        <w:div w:id="497040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842428">
      <w:bodyDiv w:val="1"/>
      <w:marLeft w:val="0"/>
      <w:marRight w:val="0"/>
      <w:marTop w:val="0"/>
      <w:marBottom w:val="0"/>
      <w:divBdr>
        <w:top w:val="none" w:sz="0" w:space="0" w:color="auto"/>
        <w:left w:val="none" w:sz="0" w:space="0" w:color="auto"/>
        <w:bottom w:val="none" w:sz="0" w:space="0" w:color="auto"/>
        <w:right w:val="none" w:sz="0" w:space="0" w:color="auto"/>
      </w:divBdr>
    </w:div>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608124102">
      <w:bodyDiv w:val="1"/>
      <w:marLeft w:val="0"/>
      <w:marRight w:val="0"/>
      <w:marTop w:val="0"/>
      <w:marBottom w:val="0"/>
      <w:divBdr>
        <w:top w:val="none" w:sz="0" w:space="0" w:color="auto"/>
        <w:left w:val="none" w:sz="0" w:space="0" w:color="auto"/>
        <w:bottom w:val="none" w:sz="0" w:space="0" w:color="auto"/>
        <w:right w:val="none" w:sz="0" w:space="0" w:color="auto"/>
      </w:divBdr>
      <w:divsChild>
        <w:div w:id="16969254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41035523">
      <w:bodyDiv w:val="1"/>
      <w:marLeft w:val="0"/>
      <w:marRight w:val="0"/>
      <w:marTop w:val="0"/>
      <w:marBottom w:val="0"/>
      <w:divBdr>
        <w:top w:val="none" w:sz="0" w:space="0" w:color="auto"/>
        <w:left w:val="none" w:sz="0" w:space="0" w:color="auto"/>
        <w:bottom w:val="none" w:sz="0" w:space="0" w:color="auto"/>
        <w:right w:val="none" w:sz="0" w:space="0" w:color="auto"/>
      </w:divBdr>
    </w:div>
    <w:div w:id="693767928">
      <w:bodyDiv w:val="1"/>
      <w:marLeft w:val="0"/>
      <w:marRight w:val="0"/>
      <w:marTop w:val="0"/>
      <w:marBottom w:val="0"/>
      <w:divBdr>
        <w:top w:val="none" w:sz="0" w:space="0" w:color="auto"/>
        <w:left w:val="none" w:sz="0" w:space="0" w:color="auto"/>
        <w:bottom w:val="none" w:sz="0" w:space="0" w:color="auto"/>
        <w:right w:val="none" w:sz="0" w:space="0" w:color="auto"/>
      </w:divBdr>
    </w:div>
    <w:div w:id="697700017">
      <w:bodyDiv w:val="1"/>
      <w:marLeft w:val="0"/>
      <w:marRight w:val="0"/>
      <w:marTop w:val="0"/>
      <w:marBottom w:val="0"/>
      <w:divBdr>
        <w:top w:val="none" w:sz="0" w:space="0" w:color="auto"/>
        <w:left w:val="none" w:sz="0" w:space="0" w:color="auto"/>
        <w:bottom w:val="none" w:sz="0" w:space="0" w:color="auto"/>
        <w:right w:val="none" w:sz="0" w:space="0" w:color="auto"/>
      </w:divBdr>
    </w:div>
    <w:div w:id="705519161">
      <w:bodyDiv w:val="1"/>
      <w:marLeft w:val="0"/>
      <w:marRight w:val="0"/>
      <w:marTop w:val="0"/>
      <w:marBottom w:val="0"/>
      <w:divBdr>
        <w:top w:val="none" w:sz="0" w:space="0" w:color="auto"/>
        <w:left w:val="none" w:sz="0" w:space="0" w:color="auto"/>
        <w:bottom w:val="none" w:sz="0" w:space="0" w:color="auto"/>
        <w:right w:val="none" w:sz="0" w:space="0" w:color="auto"/>
      </w:divBdr>
      <w:divsChild>
        <w:div w:id="1691249753">
          <w:marLeft w:val="0"/>
          <w:marRight w:val="0"/>
          <w:marTop w:val="0"/>
          <w:marBottom w:val="0"/>
          <w:divBdr>
            <w:top w:val="none" w:sz="0" w:space="0" w:color="auto"/>
            <w:left w:val="none" w:sz="0" w:space="0" w:color="auto"/>
            <w:bottom w:val="none" w:sz="0" w:space="0" w:color="auto"/>
            <w:right w:val="none" w:sz="0" w:space="0" w:color="auto"/>
          </w:divBdr>
        </w:div>
        <w:div w:id="690568343">
          <w:marLeft w:val="0"/>
          <w:marRight w:val="0"/>
          <w:marTop w:val="0"/>
          <w:marBottom w:val="0"/>
          <w:divBdr>
            <w:top w:val="none" w:sz="0" w:space="0" w:color="auto"/>
            <w:left w:val="none" w:sz="0" w:space="0" w:color="auto"/>
            <w:bottom w:val="none" w:sz="0" w:space="0" w:color="auto"/>
            <w:right w:val="none" w:sz="0" w:space="0" w:color="auto"/>
          </w:divBdr>
        </w:div>
        <w:div w:id="2022855061">
          <w:marLeft w:val="0"/>
          <w:marRight w:val="0"/>
          <w:marTop w:val="0"/>
          <w:marBottom w:val="0"/>
          <w:divBdr>
            <w:top w:val="none" w:sz="0" w:space="0" w:color="auto"/>
            <w:left w:val="none" w:sz="0" w:space="0" w:color="auto"/>
            <w:bottom w:val="none" w:sz="0" w:space="0" w:color="auto"/>
            <w:right w:val="none" w:sz="0" w:space="0" w:color="auto"/>
          </w:divBdr>
        </w:div>
        <w:div w:id="1854612878">
          <w:marLeft w:val="0"/>
          <w:marRight w:val="0"/>
          <w:marTop w:val="0"/>
          <w:marBottom w:val="0"/>
          <w:divBdr>
            <w:top w:val="none" w:sz="0" w:space="0" w:color="auto"/>
            <w:left w:val="none" w:sz="0" w:space="0" w:color="auto"/>
            <w:bottom w:val="none" w:sz="0" w:space="0" w:color="auto"/>
            <w:right w:val="none" w:sz="0" w:space="0" w:color="auto"/>
          </w:divBdr>
        </w:div>
        <w:div w:id="1293174786">
          <w:marLeft w:val="0"/>
          <w:marRight w:val="0"/>
          <w:marTop w:val="0"/>
          <w:marBottom w:val="0"/>
          <w:divBdr>
            <w:top w:val="none" w:sz="0" w:space="0" w:color="auto"/>
            <w:left w:val="none" w:sz="0" w:space="0" w:color="auto"/>
            <w:bottom w:val="none" w:sz="0" w:space="0" w:color="auto"/>
            <w:right w:val="none" w:sz="0" w:space="0" w:color="auto"/>
          </w:divBdr>
        </w:div>
        <w:div w:id="225065999">
          <w:marLeft w:val="0"/>
          <w:marRight w:val="0"/>
          <w:marTop w:val="0"/>
          <w:marBottom w:val="0"/>
          <w:divBdr>
            <w:top w:val="none" w:sz="0" w:space="0" w:color="auto"/>
            <w:left w:val="none" w:sz="0" w:space="0" w:color="auto"/>
            <w:bottom w:val="none" w:sz="0" w:space="0" w:color="auto"/>
            <w:right w:val="none" w:sz="0" w:space="0" w:color="auto"/>
          </w:divBdr>
        </w:div>
      </w:divsChild>
    </w:div>
    <w:div w:id="759986896">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766079918">
      <w:bodyDiv w:val="1"/>
      <w:marLeft w:val="0"/>
      <w:marRight w:val="0"/>
      <w:marTop w:val="0"/>
      <w:marBottom w:val="0"/>
      <w:divBdr>
        <w:top w:val="none" w:sz="0" w:space="0" w:color="auto"/>
        <w:left w:val="none" w:sz="0" w:space="0" w:color="auto"/>
        <w:bottom w:val="none" w:sz="0" w:space="0" w:color="auto"/>
        <w:right w:val="none" w:sz="0" w:space="0" w:color="auto"/>
      </w:divBdr>
    </w:div>
    <w:div w:id="782311151">
      <w:bodyDiv w:val="1"/>
      <w:marLeft w:val="0"/>
      <w:marRight w:val="0"/>
      <w:marTop w:val="0"/>
      <w:marBottom w:val="0"/>
      <w:divBdr>
        <w:top w:val="none" w:sz="0" w:space="0" w:color="auto"/>
        <w:left w:val="none" w:sz="0" w:space="0" w:color="auto"/>
        <w:bottom w:val="none" w:sz="0" w:space="0" w:color="auto"/>
        <w:right w:val="none" w:sz="0" w:space="0" w:color="auto"/>
      </w:divBdr>
    </w:div>
    <w:div w:id="821971396">
      <w:bodyDiv w:val="1"/>
      <w:marLeft w:val="0"/>
      <w:marRight w:val="0"/>
      <w:marTop w:val="0"/>
      <w:marBottom w:val="0"/>
      <w:divBdr>
        <w:top w:val="none" w:sz="0" w:space="0" w:color="auto"/>
        <w:left w:val="none" w:sz="0" w:space="0" w:color="auto"/>
        <w:bottom w:val="none" w:sz="0" w:space="0" w:color="auto"/>
        <w:right w:val="none" w:sz="0" w:space="0" w:color="auto"/>
      </w:divBdr>
    </w:div>
    <w:div w:id="825129105">
      <w:bodyDiv w:val="1"/>
      <w:marLeft w:val="0"/>
      <w:marRight w:val="0"/>
      <w:marTop w:val="0"/>
      <w:marBottom w:val="0"/>
      <w:divBdr>
        <w:top w:val="none" w:sz="0" w:space="0" w:color="auto"/>
        <w:left w:val="none" w:sz="0" w:space="0" w:color="auto"/>
        <w:bottom w:val="none" w:sz="0" w:space="0" w:color="auto"/>
        <w:right w:val="none" w:sz="0" w:space="0" w:color="auto"/>
      </w:divBdr>
    </w:div>
    <w:div w:id="854922605">
      <w:bodyDiv w:val="1"/>
      <w:marLeft w:val="0"/>
      <w:marRight w:val="0"/>
      <w:marTop w:val="0"/>
      <w:marBottom w:val="0"/>
      <w:divBdr>
        <w:top w:val="none" w:sz="0" w:space="0" w:color="auto"/>
        <w:left w:val="none" w:sz="0" w:space="0" w:color="auto"/>
        <w:bottom w:val="none" w:sz="0" w:space="0" w:color="auto"/>
        <w:right w:val="none" w:sz="0" w:space="0" w:color="auto"/>
      </w:divBdr>
    </w:div>
    <w:div w:id="896741342">
      <w:bodyDiv w:val="1"/>
      <w:marLeft w:val="0"/>
      <w:marRight w:val="0"/>
      <w:marTop w:val="0"/>
      <w:marBottom w:val="0"/>
      <w:divBdr>
        <w:top w:val="none" w:sz="0" w:space="0" w:color="auto"/>
        <w:left w:val="none" w:sz="0" w:space="0" w:color="auto"/>
        <w:bottom w:val="none" w:sz="0" w:space="0" w:color="auto"/>
        <w:right w:val="none" w:sz="0" w:space="0" w:color="auto"/>
      </w:divBdr>
    </w:div>
    <w:div w:id="904217356">
      <w:bodyDiv w:val="1"/>
      <w:marLeft w:val="0"/>
      <w:marRight w:val="0"/>
      <w:marTop w:val="0"/>
      <w:marBottom w:val="0"/>
      <w:divBdr>
        <w:top w:val="none" w:sz="0" w:space="0" w:color="auto"/>
        <w:left w:val="none" w:sz="0" w:space="0" w:color="auto"/>
        <w:bottom w:val="none" w:sz="0" w:space="0" w:color="auto"/>
        <w:right w:val="none" w:sz="0" w:space="0" w:color="auto"/>
      </w:divBdr>
    </w:div>
    <w:div w:id="944078499">
      <w:bodyDiv w:val="1"/>
      <w:marLeft w:val="0"/>
      <w:marRight w:val="0"/>
      <w:marTop w:val="0"/>
      <w:marBottom w:val="0"/>
      <w:divBdr>
        <w:top w:val="none" w:sz="0" w:space="0" w:color="auto"/>
        <w:left w:val="none" w:sz="0" w:space="0" w:color="auto"/>
        <w:bottom w:val="none" w:sz="0" w:space="0" w:color="auto"/>
        <w:right w:val="none" w:sz="0" w:space="0" w:color="auto"/>
      </w:divBdr>
    </w:div>
    <w:div w:id="946087014">
      <w:bodyDiv w:val="1"/>
      <w:marLeft w:val="0"/>
      <w:marRight w:val="0"/>
      <w:marTop w:val="0"/>
      <w:marBottom w:val="0"/>
      <w:divBdr>
        <w:top w:val="none" w:sz="0" w:space="0" w:color="auto"/>
        <w:left w:val="none" w:sz="0" w:space="0" w:color="auto"/>
        <w:bottom w:val="none" w:sz="0" w:space="0" w:color="auto"/>
        <w:right w:val="none" w:sz="0" w:space="0" w:color="auto"/>
      </w:divBdr>
    </w:div>
    <w:div w:id="948049500">
      <w:bodyDiv w:val="1"/>
      <w:marLeft w:val="0"/>
      <w:marRight w:val="0"/>
      <w:marTop w:val="0"/>
      <w:marBottom w:val="0"/>
      <w:divBdr>
        <w:top w:val="none" w:sz="0" w:space="0" w:color="auto"/>
        <w:left w:val="none" w:sz="0" w:space="0" w:color="auto"/>
        <w:bottom w:val="none" w:sz="0" w:space="0" w:color="auto"/>
        <w:right w:val="none" w:sz="0" w:space="0" w:color="auto"/>
      </w:divBdr>
    </w:div>
    <w:div w:id="954945865">
      <w:bodyDiv w:val="1"/>
      <w:marLeft w:val="0"/>
      <w:marRight w:val="0"/>
      <w:marTop w:val="0"/>
      <w:marBottom w:val="0"/>
      <w:divBdr>
        <w:top w:val="none" w:sz="0" w:space="0" w:color="auto"/>
        <w:left w:val="none" w:sz="0" w:space="0" w:color="auto"/>
        <w:bottom w:val="none" w:sz="0" w:space="0" w:color="auto"/>
        <w:right w:val="none" w:sz="0" w:space="0" w:color="auto"/>
      </w:divBdr>
    </w:div>
    <w:div w:id="965307530">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027825892">
      <w:bodyDiv w:val="1"/>
      <w:marLeft w:val="0"/>
      <w:marRight w:val="0"/>
      <w:marTop w:val="0"/>
      <w:marBottom w:val="0"/>
      <w:divBdr>
        <w:top w:val="none" w:sz="0" w:space="0" w:color="auto"/>
        <w:left w:val="none" w:sz="0" w:space="0" w:color="auto"/>
        <w:bottom w:val="none" w:sz="0" w:space="0" w:color="auto"/>
        <w:right w:val="none" w:sz="0" w:space="0" w:color="auto"/>
      </w:divBdr>
    </w:div>
    <w:div w:id="1027869305">
      <w:bodyDiv w:val="1"/>
      <w:marLeft w:val="0"/>
      <w:marRight w:val="0"/>
      <w:marTop w:val="0"/>
      <w:marBottom w:val="0"/>
      <w:divBdr>
        <w:top w:val="none" w:sz="0" w:space="0" w:color="auto"/>
        <w:left w:val="none" w:sz="0" w:space="0" w:color="auto"/>
        <w:bottom w:val="none" w:sz="0" w:space="0" w:color="auto"/>
        <w:right w:val="none" w:sz="0" w:space="0" w:color="auto"/>
      </w:divBdr>
    </w:div>
    <w:div w:id="1046376428">
      <w:bodyDiv w:val="1"/>
      <w:marLeft w:val="0"/>
      <w:marRight w:val="0"/>
      <w:marTop w:val="0"/>
      <w:marBottom w:val="0"/>
      <w:divBdr>
        <w:top w:val="none" w:sz="0" w:space="0" w:color="auto"/>
        <w:left w:val="none" w:sz="0" w:space="0" w:color="auto"/>
        <w:bottom w:val="none" w:sz="0" w:space="0" w:color="auto"/>
        <w:right w:val="none" w:sz="0" w:space="0" w:color="auto"/>
      </w:divBdr>
    </w:div>
    <w:div w:id="1067530856">
      <w:bodyDiv w:val="1"/>
      <w:marLeft w:val="0"/>
      <w:marRight w:val="0"/>
      <w:marTop w:val="0"/>
      <w:marBottom w:val="0"/>
      <w:divBdr>
        <w:top w:val="none" w:sz="0" w:space="0" w:color="auto"/>
        <w:left w:val="none" w:sz="0" w:space="0" w:color="auto"/>
        <w:bottom w:val="none" w:sz="0" w:space="0" w:color="auto"/>
        <w:right w:val="none" w:sz="0" w:space="0" w:color="auto"/>
      </w:divBdr>
    </w:div>
    <w:div w:id="1073820935">
      <w:bodyDiv w:val="1"/>
      <w:marLeft w:val="0"/>
      <w:marRight w:val="0"/>
      <w:marTop w:val="0"/>
      <w:marBottom w:val="0"/>
      <w:divBdr>
        <w:top w:val="none" w:sz="0" w:space="0" w:color="auto"/>
        <w:left w:val="none" w:sz="0" w:space="0" w:color="auto"/>
        <w:bottom w:val="none" w:sz="0" w:space="0" w:color="auto"/>
        <w:right w:val="none" w:sz="0" w:space="0" w:color="auto"/>
      </w:divBdr>
    </w:div>
    <w:div w:id="1079399930">
      <w:bodyDiv w:val="1"/>
      <w:marLeft w:val="0"/>
      <w:marRight w:val="0"/>
      <w:marTop w:val="0"/>
      <w:marBottom w:val="0"/>
      <w:divBdr>
        <w:top w:val="none" w:sz="0" w:space="0" w:color="auto"/>
        <w:left w:val="none" w:sz="0" w:space="0" w:color="auto"/>
        <w:bottom w:val="none" w:sz="0" w:space="0" w:color="auto"/>
        <w:right w:val="none" w:sz="0" w:space="0" w:color="auto"/>
      </w:divBdr>
    </w:div>
    <w:div w:id="1084179472">
      <w:bodyDiv w:val="1"/>
      <w:marLeft w:val="0"/>
      <w:marRight w:val="0"/>
      <w:marTop w:val="0"/>
      <w:marBottom w:val="0"/>
      <w:divBdr>
        <w:top w:val="none" w:sz="0" w:space="0" w:color="auto"/>
        <w:left w:val="none" w:sz="0" w:space="0" w:color="auto"/>
        <w:bottom w:val="none" w:sz="0" w:space="0" w:color="auto"/>
        <w:right w:val="none" w:sz="0" w:space="0" w:color="auto"/>
      </w:divBdr>
    </w:div>
    <w:div w:id="1086613245">
      <w:bodyDiv w:val="1"/>
      <w:marLeft w:val="0"/>
      <w:marRight w:val="0"/>
      <w:marTop w:val="0"/>
      <w:marBottom w:val="0"/>
      <w:divBdr>
        <w:top w:val="none" w:sz="0" w:space="0" w:color="auto"/>
        <w:left w:val="none" w:sz="0" w:space="0" w:color="auto"/>
        <w:bottom w:val="none" w:sz="0" w:space="0" w:color="auto"/>
        <w:right w:val="none" w:sz="0" w:space="0" w:color="auto"/>
      </w:divBdr>
      <w:divsChild>
        <w:div w:id="1644626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889771">
      <w:bodyDiv w:val="1"/>
      <w:marLeft w:val="0"/>
      <w:marRight w:val="0"/>
      <w:marTop w:val="0"/>
      <w:marBottom w:val="0"/>
      <w:divBdr>
        <w:top w:val="none" w:sz="0" w:space="0" w:color="auto"/>
        <w:left w:val="none" w:sz="0" w:space="0" w:color="auto"/>
        <w:bottom w:val="none" w:sz="0" w:space="0" w:color="auto"/>
        <w:right w:val="none" w:sz="0" w:space="0" w:color="auto"/>
      </w:divBdr>
    </w:div>
    <w:div w:id="1149445816">
      <w:bodyDiv w:val="1"/>
      <w:marLeft w:val="0"/>
      <w:marRight w:val="0"/>
      <w:marTop w:val="0"/>
      <w:marBottom w:val="0"/>
      <w:divBdr>
        <w:top w:val="none" w:sz="0" w:space="0" w:color="auto"/>
        <w:left w:val="none" w:sz="0" w:space="0" w:color="auto"/>
        <w:bottom w:val="none" w:sz="0" w:space="0" w:color="auto"/>
        <w:right w:val="none" w:sz="0" w:space="0" w:color="auto"/>
      </w:divBdr>
    </w:div>
    <w:div w:id="1174614566">
      <w:bodyDiv w:val="1"/>
      <w:marLeft w:val="0"/>
      <w:marRight w:val="0"/>
      <w:marTop w:val="0"/>
      <w:marBottom w:val="0"/>
      <w:divBdr>
        <w:top w:val="none" w:sz="0" w:space="0" w:color="auto"/>
        <w:left w:val="none" w:sz="0" w:space="0" w:color="auto"/>
        <w:bottom w:val="none" w:sz="0" w:space="0" w:color="auto"/>
        <w:right w:val="none" w:sz="0" w:space="0" w:color="auto"/>
      </w:divBdr>
    </w:div>
    <w:div w:id="1185175459">
      <w:bodyDiv w:val="1"/>
      <w:marLeft w:val="0"/>
      <w:marRight w:val="0"/>
      <w:marTop w:val="0"/>
      <w:marBottom w:val="0"/>
      <w:divBdr>
        <w:top w:val="none" w:sz="0" w:space="0" w:color="auto"/>
        <w:left w:val="none" w:sz="0" w:space="0" w:color="auto"/>
        <w:bottom w:val="none" w:sz="0" w:space="0" w:color="auto"/>
        <w:right w:val="none" w:sz="0" w:space="0" w:color="auto"/>
      </w:divBdr>
    </w:div>
    <w:div w:id="1190490820">
      <w:bodyDiv w:val="1"/>
      <w:marLeft w:val="0"/>
      <w:marRight w:val="0"/>
      <w:marTop w:val="0"/>
      <w:marBottom w:val="0"/>
      <w:divBdr>
        <w:top w:val="none" w:sz="0" w:space="0" w:color="auto"/>
        <w:left w:val="none" w:sz="0" w:space="0" w:color="auto"/>
        <w:bottom w:val="none" w:sz="0" w:space="0" w:color="auto"/>
        <w:right w:val="none" w:sz="0" w:space="0" w:color="auto"/>
      </w:divBdr>
    </w:div>
    <w:div w:id="1194684426">
      <w:bodyDiv w:val="1"/>
      <w:marLeft w:val="0"/>
      <w:marRight w:val="0"/>
      <w:marTop w:val="0"/>
      <w:marBottom w:val="0"/>
      <w:divBdr>
        <w:top w:val="none" w:sz="0" w:space="0" w:color="auto"/>
        <w:left w:val="none" w:sz="0" w:space="0" w:color="auto"/>
        <w:bottom w:val="none" w:sz="0" w:space="0" w:color="auto"/>
        <w:right w:val="none" w:sz="0" w:space="0" w:color="auto"/>
      </w:divBdr>
    </w:div>
    <w:div w:id="1209103142">
      <w:bodyDiv w:val="1"/>
      <w:marLeft w:val="0"/>
      <w:marRight w:val="0"/>
      <w:marTop w:val="0"/>
      <w:marBottom w:val="0"/>
      <w:divBdr>
        <w:top w:val="none" w:sz="0" w:space="0" w:color="auto"/>
        <w:left w:val="none" w:sz="0" w:space="0" w:color="auto"/>
        <w:bottom w:val="none" w:sz="0" w:space="0" w:color="auto"/>
        <w:right w:val="none" w:sz="0" w:space="0" w:color="auto"/>
      </w:divBdr>
    </w:div>
    <w:div w:id="1230993709">
      <w:bodyDiv w:val="1"/>
      <w:marLeft w:val="0"/>
      <w:marRight w:val="0"/>
      <w:marTop w:val="0"/>
      <w:marBottom w:val="0"/>
      <w:divBdr>
        <w:top w:val="none" w:sz="0" w:space="0" w:color="auto"/>
        <w:left w:val="none" w:sz="0" w:space="0" w:color="auto"/>
        <w:bottom w:val="none" w:sz="0" w:space="0" w:color="auto"/>
        <w:right w:val="none" w:sz="0" w:space="0" w:color="auto"/>
      </w:divBdr>
    </w:div>
    <w:div w:id="1232352596">
      <w:bodyDiv w:val="1"/>
      <w:marLeft w:val="0"/>
      <w:marRight w:val="0"/>
      <w:marTop w:val="0"/>
      <w:marBottom w:val="0"/>
      <w:divBdr>
        <w:top w:val="none" w:sz="0" w:space="0" w:color="auto"/>
        <w:left w:val="none" w:sz="0" w:space="0" w:color="auto"/>
        <w:bottom w:val="none" w:sz="0" w:space="0" w:color="auto"/>
        <w:right w:val="none" w:sz="0" w:space="0" w:color="auto"/>
      </w:divBdr>
    </w:div>
    <w:div w:id="1263344160">
      <w:bodyDiv w:val="1"/>
      <w:marLeft w:val="0"/>
      <w:marRight w:val="0"/>
      <w:marTop w:val="0"/>
      <w:marBottom w:val="0"/>
      <w:divBdr>
        <w:top w:val="none" w:sz="0" w:space="0" w:color="auto"/>
        <w:left w:val="none" w:sz="0" w:space="0" w:color="auto"/>
        <w:bottom w:val="none" w:sz="0" w:space="0" w:color="auto"/>
        <w:right w:val="none" w:sz="0" w:space="0" w:color="auto"/>
      </w:divBdr>
    </w:div>
    <w:div w:id="1287810146">
      <w:bodyDiv w:val="1"/>
      <w:marLeft w:val="0"/>
      <w:marRight w:val="0"/>
      <w:marTop w:val="0"/>
      <w:marBottom w:val="0"/>
      <w:divBdr>
        <w:top w:val="none" w:sz="0" w:space="0" w:color="auto"/>
        <w:left w:val="none" w:sz="0" w:space="0" w:color="auto"/>
        <w:bottom w:val="none" w:sz="0" w:space="0" w:color="auto"/>
        <w:right w:val="none" w:sz="0" w:space="0" w:color="auto"/>
      </w:divBdr>
      <w:divsChild>
        <w:div w:id="1988701579">
          <w:marLeft w:val="0"/>
          <w:marRight w:val="0"/>
          <w:marTop w:val="0"/>
          <w:marBottom w:val="0"/>
          <w:divBdr>
            <w:top w:val="none" w:sz="0" w:space="0" w:color="auto"/>
            <w:left w:val="none" w:sz="0" w:space="0" w:color="auto"/>
            <w:bottom w:val="none" w:sz="0" w:space="0" w:color="auto"/>
            <w:right w:val="none" w:sz="0" w:space="0" w:color="auto"/>
          </w:divBdr>
        </w:div>
        <w:div w:id="1131629669">
          <w:marLeft w:val="0"/>
          <w:marRight w:val="0"/>
          <w:marTop w:val="0"/>
          <w:marBottom w:val="0"/>
          <w:divBdr>
            <w:top w:val="none" w:sz="0" w:space="0" w:color="auto"/>
            <w:left w:val="none" w:sz="0" w:space="0" w:color="auto"/>
            <w:bottom w:val="none" w:sz="0" w:space="0" w:color="auto"/>
            <w:right w:val="none" w:sz="0" w:space="0" w:color="auto"/>
          </w:divBdr>
        </w:div>
      </w:divsChild>
    </w:div>
    <w:div w:id="1296332766">
      <w:bodyDiv w:val="1"/>
      <w:marLeft w:val="0"/>
      <w:marRight w:val="0"/>
      <w:marTop w:val="0"/>
      <w:marBottom w:val="0"/>
      <w:divBdr>
        <w:top w:val="none" w:sz="0" w:space="0" w:color="auto"/>
        <w:left w:val="none" w:sz="0" w:space="0" w:color="auto"/>
        <w:bottom w:val="none" w:sz="0" w:space="0" w:color="auto"/>
        <w:right w:val="none" w:sz="0" w:space="0" w:color="auto"/>
      </w:divBdr>
    </w:div>
    <w:div w:id="1354529384">
      <w:bodyDiv w:val="1"/>
      <w:marLeft w:val="0"/>
      <w:marRight w:val="0"/>
      <w:marTop w:val="0"/>
      <w:marBottom w:val="0"/>
      <w:divBdr>
        <w:top w:val="none" w:sz="0" w:space="0" w:color="auto"/>
        <w:left w:val="none" w:sz="0" w:space="0" w:color="auto"/>
        <w:bottom w:val="none" w:sz="0" w:space="0" w:color="auto"/>
        <w:right w:val="none" w:sz="0" w:space="0" w:color="auto"/>
      </w:divBdr>
    </w:div>
    <w:div w:id="1371343032">
      <w:bodyDiv w:val="1"/>
      <w:marLeft w:val="0"/>
      <w:marRight w:val="0"/>
      <w:marTop w:val="0"/>
      <w:marBottom w:val="0"/>
      <w:divBdr>
        <w:top w:val="none" w:sz="0" w:space="0" w:color="auto"/>
        <w:left w:val="none" w:sz="0" w:space="0" w:color="auto"/>
        <w:bottom w:val="none" w:sz="0" w:space="0" w:color="auto"/>
        <w:right w:val="none" w:sz="0" w:space="0" w:color="auto"/>
      </w:divBdr>
    </w:div>
    <w:div w:id="1430007484">
      <w:bodyDiv w:val="1"/>
      <w:marLeft w:val="0"/>
      <w:marRight w:val="0"/>
      <w:marTop w:val="0"/>
      <w:marBottom w:val="0"/>
      <w:divBdr>
        <w:top w:val="none" w:sz="0" w:space="0" w:color="auto"/>
        <w:left w:val="none" w:sz="0" w:space="0" w:color="auto"/>
        <w:bottom w:val="none" w:sz="0" w:space="0" w:color="auto"/>
        <w:right w:val="none" w:sz="0" w:space="0" w:color="auto"/>
      </w:divBdr>
    </w:div>
    <w:div w:id="1493520546">
      <w:bodyDiv w:val="1"/>
      <w:marLeft w:val="0"/>
      <w:marRight w:val="0"/>
      <w:marTop w:val="0"/>
      <w:marBottom w:val="0"/>
      <w:divBdr>
        <w:top w:val="none" w:sz="0" w:space="0" w:color="auto"/>
        <w:left w:val="none" w:sz="0" w:space="0" w:color="auto"/>
        <w:bottom w:val="none" w:sz="0" w:space="0" w:color="auto"/>
        <w:right w:val="none" w:sz="0" w:space="0" w:color="auto"/>
      </w:divBdr>
    </w:div>
    <w:div w:id="1503857965">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542748718">
      <w:bodyDiv w:val="1"/>
      <w:marLeft w:val="0"/>
      <w:marRight w:val="0"/>
      <w:marTop w:val="0"/>
      <w:marBottom w:val="0"/>
      <w:divBdr>
        <w:top w:val="none" w:sz="0" w:space="0" w:color="auto"/>
        <w:left w:val="none" w:sz="0" w:space="0" w:color="auto"/>
        <w:bottom w:val="none" w:sz="0" w:space="0" w:color="auto"/>
        <w:right w:val="none" w:sz="0" w:space="0" w:color="auto"/>
      </w:divBdr>
    </w:div>
    <w:div w:id="1572541863">
      <w:bodyDiv w:val="1"/>
      <w:marLeft w:val="0"/>
      <w:marRight w:val="0"/>
      <w:marTop w:val="0"/>
      <w:marBottom w:val="0"/>
      <w:divBdr>
        <w:top w:val="none" w:sz="0" w:space="0" w:color="auto"/>
        <w:left w:val="none" w:sz="0" w:space="0" w:color="auto"/>
        <w:bottom w:val="none" w:sz="0" w:space="0" w:color="auto"/>
        <w:right w:val="none" w:sz="0" w:space="0" w:color="auto"/>
      </w:divBdr>
      <w:divsChild>
        <w:div w:id="1042943849">
          <w:marLeft w:val="0"/>
          <w:marRight w:val="0"/>
          <w:marTop w:val="0"/>
          <w:marBottom w:val="0"/>
          <w:divBdr>
            <w:top w:val="none" w:sz="0" w:space="0" w:color="auto"/>
            <w:left w:val="none" w:sz="0" w:space="0" w:color="auto"/>
            <w:bottom w:val="none" w:sz="0" w:space="0" w:color="auto"/>
            <w:right w:val="none" w:sz="0" w:space="0" w:color="auto"/>
          </w:divBdr>
        </w:div>
        <w:div w:id="1225140139">
          <w:marLeft w:val="0"/>
          <w:marRight w:val="0"/>
          <w:marTop w:val="0"/>
          <w:marBottom w:val="0"/>
          <w:divBdr>
            <w:top w:val="none" w:sz="0" w:space="0" w:color="auto"/>
            <w:left w:val="none" w:sz="0" w:space="0" w:color="auto"/>
            <w:bottom w:val="none" w:sz="0" w:space="0" w:color="auto"/>
            <w:right w:val="none" w:sz="0" w:space="0" w:color="auto"/>
          </w:divBdr>
        </w:div>
        <w:div w:id="1412973238">
          <w:marLeft w:val="0"/>
          <w:marRight w:val="0"/>
          <w:marTop w:val="0"/>
          <w:marBottom w:val="0"/>
          <w:divBdr>
            <w:top w:val="none" w:sz="0" w:space="0" w:color="auto"/>
            <w:left w:val="none" w:sz="0" w:space="0" w:color="auto"/>
            <w:bottom w:val="none" w:sz="0" w:space="0" w:color="auto"/>
            <w:right w:val="none" w:sz="0" w:space="0" w:color="auto"/>
          </w:divBdr>
        </w:div>
        <w:div w:id="1409645733">
          <w:marLeft w:val="0"/>
          <w:marRight w:val="0"/>
          <w:marTop w:val="0"/>
          <w:marBottom w:val="0"/>
          <w:divBdr>
            <w:top w:val="none" w:sz="0" w:space="0" w:color="auto"/>
            <w:left w:val="none" w:sz="0" w:space="0" w:color="auto"/>
            <w:bottom w:val="none" w:sz="0" w:space="0" w:color="auto"/>
            <w:right w:val="none" w:sz="0" w:space="0" w:color="auto"/>
          </w:divBdr>
        </w:div>
        <w:div w:id="103698774">
          <w:marLeft w:val="0"/>
          <w:marRight w:val="0"/>
          <w:marTop w:val="0"/>
          <w:marBottom w:val="0"/>
          <w:divBdr>
            <w:top w:val="none" w:sz="0" w:space="0" w:color="auto"/>
            <w:left w:val="none" w:sz="0" w:space="0" w:color="auto"/>
            <w:bottom w:val="none" w:sz="0" w:space="0" w:color="auto"/>
            <w:right w:val="none" w:sz="0" w:space="0" w:color="auto"/>
          </w:divBdr>
        </w:div>
        <w:div w:id="2065132760">
          <w:marLeft w:val="0"/>
          <w:marRight w:val="0"/>
          <w:marTop w:val="0"/>
          <w:marBottom w:val="0"/>
          <w:divBdr>
            <w:top w:val="none" w:sz="0" w:space="0" w:color="auto"/>
            <w:left w:val="none" w:sz="0" w:space="0" w:color="auto"/>
            <w:bottom w:val="none" w:sz="0" w:space="0" w:color="auto"/>
            <w:right w:val="none" w:sz="0" w:space="0" w:color="auto"/>
          </w:divBdr>
        </w:div>
        <w:div w:id="983850742">
          <w:marLeft w:val="0"/>
          <w:marRight w:val="0"/>
          <w:marTop w:val="0"/>
          <w:marBottom w:val="0"/>
          <w:divBdr>
            <w:top w:val="none" w:sz="0" w:space="0" w:color="auto"/>
            <w:left w:val="none" w:sz="0" w:space="0" w:color="auto"/>
            <w:bottom w:val="none" w:sz="0" w:space="0" w:color="auto"/>
            <w:right w:val="none" w:sz="0" w:space="0" w:color="auto"/>
          </w:divBdr>
        </w:div>
        <w:div w:id="972753597">
          <w:marLeft w:val="0"/>
          <w:marRight w:val="0"/>
          <w:marTop w:val="0"/>
          <w:marBottom w:val="0"/>
          <w:divBdr>
            <w:top w:val="none" w:sz="0" w:space="0" w:color="auto"/>
            <w:left w:val="none" w:sz="0" w:space="0" w:color="auto"/>
            <w:bottom w:val="none" w:sz="0" w:space="0" w:color="auto"/>
            <w:right w:val="none" w:sz="0" w:space="0" w:color="auto"/>
          </w:divBdr>
        </w:div>
        <w:div w:id="287707414">
          <w:marLeft w:val="0"/>
          <w:marRight w:val="0"/>
          <w:marTop w:val="0"/>
          <w:marBottom w:val="0"/>
          <w:divBdr>
            <w:top w:val="none" w:sz="0" w:space="0" w:color="auto"/>
            <w:left w:val="none" w:sz="0" w:space="0" w:color="auto"/>
            <w:bottom w:val="none" w:sz="0" w:space="0" w:color="auto"/>
            <w:right w:val="none" w:sz="0" w:space="0" w:color="auto"/>
          </w:divBdr>
        </w:div>
        <w:div w:id="31536876">
          <w:marLeft w:val="0"/>
          <w:marRight w:val="0"/>
          <w:marTop w:val="0"/>
          <w:marBottom w:val="0"/>
          <w:divBdr>
            <w:top w:val="none" w:sz="0" w:space="0" w:color="auto"/>
            <w:left w:val="none" w:sz="0" w:space="0" w:color="auto"/>
            <w:bottom w:val="none" w:sz="0" w:space="0" w:color="auto"/>
            <w:right w:val="none" w:sz="0" w:space="0" w:color="auto"/>
          </w:divBdr>
        </w:div>
        <w:div w:id="411319368">
          <w:marLeft w:val="0"/>
          <w:marRight w:val="0"/>
          <w:marTop w:val="0"/>
          <w:marBottom w:val="0"/>
          <w:divBdr>
            <w:top w:val="none" w:sz="0" w:space="0" w:color="auto"/>
            <w:left w:val="none" w:sz="0" w:space="0" w:color="auto"/>
            <w:bottom w:val="none" w:sz="0" w:space="0" w:color="auto"/>
            <w:right w:val="none" w:sz="0" w:space="0" w:color="auto"/>
          </w:divBdr>
        </w:div>
        <w:div w:id="963656156">
          <w:marLeft w:val="0"/>
          <w:marRight w:val="0"/>
          <w:marTop w:val="0"/>
          <w:marBottom w:val="0"/>
          <w:divBdr>
            <w:top w:val="none" w:sz="0" w:space="0" w:color="auto"/>
            <w:left w:val="none" w:sz="0" w:space="0" w:color="auto"/>
            <w:bottom w:val="none" w:sz="0" w:space="0" w:color="auto"/>
            <w:right w:val="none" w:sz="0" w:space="0" w:color="auto"/>
          </w:divBdr>
        </w:div>
        <w:div w:id="1175653502">
          <w:marLeft w:val="0"/>
          <w:marRight w:val="0"/>
          <w:marTop w:val="0"/>
          <w:marBottom w:val="0"/>
          <w:divBdr>
            <w:top w:val="none" w:sz="0" w:space="0" w:color="auto"/>
            <w:left w:val="none" w:sz="0" w:space="0" w:color="auto"/>
            <w:bottom w:val="none" w:sz="0" w:space="0" w:color="auto"/>
            <w:right w:val="none" w:sz="0" w:space="0" w:color="auto"/>
          </w:divBdr>
        </w:div>
        <w:div w:id="1350370342">
          <w:marLeft w:val="0"/>
          <w:marRight w:val="0"/>
          <w:marTop w:val="0"/>
          <w:marBottom w:val="0"/>
          <w:divBdr>
            <w:top w:val="none" w:sz="0" w:space="0" w:color="auto"/>
            <w:left w:val="none" w:sz="0" w:space="0" w:color="auto"/>
            <w:bottom w:val="none" w:sz="0" w:space="0" w:color="auto"/>
            <w:right w:val="none" w:sz="0" w:space="0" w:color="auto"/>
          </w:divBdr>
        </w:div>
        <w:div w:id="799298256">
          <w:marLeft w:val="0"/>
          <w:marRight w:val="0"/>
          <w:marTop w:val="0"/>
          <w:marBottom w:val="0"/>
          <w:divBdr>
            <w:top w:val="none" w:sz="0" w:space="0" w:color="auto"/>
            <w:left w:val="none" w:sz="0" w:space="0" w:color="auto"/>
            <w:bottom w:val="none" w:sz="0" w:space="0" w:color="auto"/>
            <w:right w:val="none" w:sz="0" w:space="0" w:color="auto"/>
          </w:divBdr>
        </w:div>
        <w:div w:id="311637478">
          <w:marLeft w:val="0"/>
          <w:marRight w:val="0"/>
          <w:marTop w:val="0"/>
          <w:marBottom w:val="0"/>
          <w:divBdr>
            <w:top w:val="none" w:sz="0" w:space="0" w:color="auto"/>
            <w:left w:val="none" w:sz="0" w:space="0" w:color="auto"/>
            <w:bottom w:val="none" w:sz="0" w:space="0" w:color="auto"/>
            <w:right w:val="none" w:sz="0" w:space="0" w:color="auto"/>
          </w:divBdr>
        </w:div>
        <w:div w:id="1555964275">
          <w:marLeft w:val="0"/>
          <w:marRight w:val="0"/>
          <w:marTop w:val="0"/>
          <w:marBottom w:val="0"/>
          <w:divBdr>
            <w:top w:val="none" w:sz="0" w:space="0" w:color="auto"/>
            <w:left w:val="none" w:sz="0" w:space="0" w:color="auto"/>
            <w:bottom w:val="none" w:sz="0" w:space="0" w:color="auto"/>
            <w:right w:val="none" w:sz="0" w:space="0" w:color="auto"/>
          </w:divBdr>
        </w:div>
      </w:divsChild>
    </w:div>
    <w:div w:id="1614289769">
      <w:bodyDiv w:val="1"/>
      <w:marLeft w:val="0"/>
      <w:marRight w:val="0"/>
      <w:marTop w:val="0"/>
      <w:marBottom w:val="0"/>
      <w:divBdr>
        <w:top w:val="none" w:sz="0" w:space="0" w:color="auto"/>
        <w:left w:val="none" w:sz="0" w:space="0" w:color="auto"/>
        <w:bottom w:val="none" w:sz="0" w:space="0" w:color="auto"/>
        <w:right w:val="none" w:sz="0" w:space="0" w:color="auto"/>
      </w:divBdr>
    </w:div>
    <w:div w:id="1679506134">
      <w:bodyDiv w:val="1"/>
      <w:marLeft w:val="0"/>
      <w:marRight w:val="0"/>
      <w:marTop w:val="0"/>
      <w:marBottom w:val="0"/>
      <w:divBdr>
        <w:top w:val="none" w:sz="0" w:space="0" w:color="auto"/>
        <w:left w:val="none" w:sz="0" w:space="0" w:color="auto"/>
        <w:bottom w:val="none" w:sz="0" w:space="0" w:color="auto"/>
        <w:right w:val="none" w:sz="0" w:space="0" w:color="auto"/>
      </w:divBdr>
      <w:divsChild>
        <w:div w:id="193271289">
          <w:marLeft w:val="0"/>
          <w:marRight w:val="0"/>
          <w:marTop w:val="0"/>
          <w:marBottom w:val="0"/>
          <w:divBdr>
            <w:top w:val="none" w:sz="0" w:space="0" w:color="auto"/>
            <w:left w:val="none" w:sz="0" w:space="0" w:color="auto"/>
            <w:bottom w:val="none" w:sz="0" w:space="0" w:color="auto"/>
            <w:right w:val="none" w:sz="0" w:space="0" w:color="auto"/>
          </w:divBdr>
        </w:div>
        <w:div w:id="23095357">
          <w:marLeft w:val="0"/>
          <w:marRight w:val="0"/>
          <w:marTop w:val="0"/>
          <w:marBottom w:val="0"/>
          <w:divBdr>
            <w:top w:val="none" w:sz="0" w:space="0" w:color="auto"/>
            <w:left w:val="none" w:sz="0" w:space="0" w:color="auto"/>
            <w:bottom w:val="none" w:sz="0" w:space="0" w:color="auto"/>
            <w:right w:val="none" w:sz="0" w:space="0" w:color="auto"/>
          </w:divBdr>
        </w:div>
        <w:div w:id="185681840">
          <w:marLeft w:val="0"/>
          <w:marRight w:val="0"/>
          <w:marTop w:val="0"/>
          <w:marBottom w:val="0"/>
          <w:divBdr>
            <w:top w:val="none" w:sz="0" w:space="0" w:color="auto"/>
            <w:left w:val="none" w:sz="0" w:space="0" w:color="auto"/>
            <w:bottom w:val="none" w:sz="0" w:space="0" w:color="auto"/>
            <w:right w:val="none" w:sz="0" w:space="0" w:color="auto"/>
          </w:divBdr>
        </w:div>
        <w:div w:id="1396051729">
          <w:marLeft w:val="0"/>
          <w:marRight w:val="0"/>
          <w:marTop w:val="0"/>
          <w:marBottom w:val="0"/>
          <w:divBdr>
            <w:top w:val="none" w:sz="0" w:space="0" w:color="auto"/>
            <w:left w:val="none" w:sz="0" w:space="0" w:color="auto"/>
            <w:bottom w:val="none" w:sz="0" w:space="0" w:color="auto"/>
            <w:right w:val="none" w:sz="0" w:space="0" w:color="auto"/>
          </w:divBdr>
        </w:div>
        <w:div w:id="176970962">
          <w:marLeft w:val="0"/>
          <w:marRight w:val="0"/>
          <w:marTop w:val="0"/>
          <w:marBottom w:val="0"/>
          <w:divBdr>
            <w:top w:val="none" w:sz="0" w:space="0" w:color="auto"/>
            <w:left w:val="none" w:sz="0" w:space="0" w:color="auto"/>
            <w:bottom w:val="none" w:sz="0" w:space="0" w:color="auto"/>
            <w:right w:val="none" w:sz="0" w:space="0" w:color="auto"/>
          </w:divBdr>
        </w:div>
        <w:div w:id="453796844">
          <w:marLeft w:val="0"/>
          <w:marRight w:val="0"/>
          <w:marTop w:val="0"/>
          <w:marBottom w:val="0"/>
          <w:divBdr>
            <w:top w:val="none" w:sz="0" w:space="0" w:color="auto"/>
            <w:left w:val="none" w:sz="0" w:space="0" w:color="auto"/>
            <w:bottom w:val="none" w:sz="0" w:space="0" w:color="auto"/>
            <w:right w:val="none" w:sz="0" w:space="0" w:color="auto"/>
          </w:divBdr>
        </w:div>
        <w:div w:id="21058213">
          <w:marLeft w:val="0"/>
          <w:marRight w:val="0"/>
          <w:marTop w:val="0"/>
          <w:marBottom w:val="0"/>
          <w:divBdr>
            <w:top w:val="none" w:sz="0" w:space="0" w:color="auto"/>
            <w:left w:val="none" w:sz="0" w:space="0" w:color="auto"/>
            <w:bottom w:val="none" w:sz="0" w:space="0" w:color="auto"/>
            <w:right w:val="none" w:sz="0" w:space="0" w:color="auto"/>
          </w:divBdr>
        </w:div>
        <w:div w:id="380255276">
          <w:marLeft w:val="0"/>
          <w:marRight w:val="0"/>
          <w:marTop w:val="0"/>
          <w:marBottom w:val="0"/>
          <w:divBdr>
            <w:top w:val="none" w:sz="0" w:space="0" w:color="auto"/>
            <w:left w:val="none" w:sz="0" w:space="0" w:color="auto"/>
            <w:bottom w:val="none" w:sz="0" w:space="0" w:color="auto"/>
            <w:right w:val="none" w:sz="0" w:space="0" w:color="auto"/>
          </w:divBdr>
        </w:div>
        <w:div w:id="1805393835">
          <w:marLeft w:val="0"/>
          <w:marRight w:val="0"/>
          <w:marTop w:val="0"/>
          <w:marBottom w:val="0"/>
          <w:divBdr>
            <w:top w:val="none" w:sz="0" w:space="0" w:color="auto"/>
            <w:left w:val="none" w:sz="0" w:space="0" w:color="auto"/>
            <w:bottom w:val="none" w:sz="0" w:space="0" w:color="auto"/>
            <w:right w:val="none" w:sz="0" w:space="0" w:color="auto"/>
          </w:divBdr>
        </w:div>
        <w:div w:id="2043168454">
          <w:marLeft w:val="0"/>
          <w:marRight w:val="0"/>
          <w:marTop w:val="0"/>
          <w:marBottom w:val="0"/>
          <w:divBdr>
            <w:top w:val="none" w:sz="0" w:space="0" w:color="auto"/>
            <w:left w:val="none" w:sz="0" w:space="0" w:color="auto"/>
            <w:bottom w:val="none" w:sz="0" w:space="0" w:color="auto"/>
            <w:right w:val="none" w:sz="0" w:space="0" w:color="auto"/>
          </w:divBdr>
        </w:div>
        <w:div w:id="624501878">
          <w:marLeft w:val="0"/>
          <w:marRight w:val="0"/>
          <w:marTop w:val="0"/>
          <w:marBottom w:val="0"/>
          <w:divBdr>
            <w:top w:val="none" w:sz="0" w:space="0" w:color="auto"/>
            <w:left w:val="none" w:sz="0" w:space="0" w:color="auto"/>
            <w:bottom w:val="none" w:sz="0" w:space="0" w:color="auto"/>
            <w:right w:val="none" w:sz="0" w:space="0" w:color="auto"/>
          </w:divBdr>
        </w:div>
      </w:divsChild>
    </w:div>
    <w:div w:id="1703050616">
      <w:bodyDiv w:val="1"/>
      <w:marLeft w:val="0"/>
      <w:marRight w:val="0"/>
      <w:marTop w:val="0"/>
      <w:marBottom w:val="0"/>
      <w:divBdr>
        <w:top w:val="none" w:sz="0" w:space="0" w:color="auto"/>
        <w:left w:val="none" w:sz="0" w:space="0" w:color="auto"/>
        <w:bottom w:val="none" w:sz="0" w:space="0" w:color="auto"/>
        <w:right w:val="none" w:sz="0" w:space="0" w:color="auto"/>
      </w:divBdr>
    </w:div>
    <w:div w:id="1737700052">
      <w:bodyDiv w:val="1"/>
      <w:marLeft w:val="0"/>
      <w:marRight w:val="0"/>
      <w:marTop w:val="0"/>
      <w:marBottom w:val="0"/>
      <w:divBdr>
        <w:top w:val="none" w:sz="0" w:space="0" w:color="auto"/>
        <w:left w:val="none" w:sz="0" w:space="0" w:color="auto"/>
        <w:bottom w:val="none" w:sz="0" w:space="0" w:color="auto"/>
        <w:right w:val="none" w:sz="0" w:space="0" w:color="auto"/>
      </w:divBdr>
    </w:div>
    <w:div w:id="1761750307">
      <w:bodyDiv w:val="1"/>
      <w:marLeft w:val="0"/>
      <w:marRight w:val="0"/>
      <w:marTop w:val="0"/>
      <w:marBottom w:val="0"/>
      <w:divBdr>
        <w:top w:val="none" w:sz="0" w:space="0" w:color="auto"/>
        <w:left w:val="none" w:sz="0" w:space="0" w:color="auto"/>
        <w:bottom w:val="none" w:sz="0" w:space="0" w:color="auto"/>
        <w:right w:val="none" w:sz="0" w:space="0" w:color="auto"/>
      </w:divBdr>
    </w:div>
    <w:div w:id="1777290354">
      <w:bodyDiv w:val="1"/>
      <w:marLeft w:val="0"/>
      <w:marRight w:val="0"/>
      <w:marTop w:val="0"/>
      <w:marBottom w:val="0"/>
      <w:divBdr>
        <w:top w:val="none" w:sz="0" w:space="0" w:color="auto"/>
        <w:left w:val="none" w:sz="0" w:space="0" w:color="auto"/>
        <w:bottom w:val="none" w:sz="0" w:space="0" w:color="auto"/>
        <w:right w:val="none" w:sz="0" w:space="0" w:color="auto"/>
      </w:divBdr>
    </w:div>
    <w:div w:id="1795443495">
      <w:bodyDiv w:val="1"/>
      <w:marLeft w:val="0"/>
      <w:marRight w:val="0"/>
      <w:marTop w:val="0"/>
      <w:marBottom w:val="0"/>
      <w:divBdr>
        <w:top w:val="none" w:sz="0" w:space="0" w:color="auto"/>
        <w:left w:val="none" w:sz="0" w:space="0" w:color="auto"/>
        <w:bottom w:val="none" w:sz="0" w:space="0" w:color="auto"/>
        <w:right w:val="none" w:sz="0" w:space="0" w:color="auto"/>
      </w:divBdr>
      <w:divsChild>
        <w:div w:id="1863393715">
          <w:marLeft w:val="760"/>
          <w:marRight w:val="0"/>
          <w:marTop w:val="0"/>
          <w:marBottom w:val="0"/>
          <w:divBdr>
            <w:top w:val="none" w:sz="0" w:space="0" w:color="auto"/>
            <w:left w:val="none" w:sz="0" w:space="0" w:color="auto"/>
            <w:bottom w:val="none" w:sz="0" w:space="0" w:color="auto"/>
            <w:right w:val="none" w:sz="0" w:space="0" w:color="auto"/>
          </w:divBdr>
        </w:div>
        <w:div w:id="1703554104">
          <w:marLeft w:val="760"/>
          <w:marRight w:val="0"/>
          <w:marTop w:val="0"/>
          <w:marBottom w:val="0"/>
          <w:divBdr>
            <w:top w:val="none" w:sz="0" w:space="0" w:color="auto"/>
            <w:left w:val="none" w:sz="0" w:space="0" w:color="auto"/>
            <w:bottom w:val="none" w:sz="0" w:space="0" w:color="auto"/>
            <w:right w:val="none" w:sz="0" w:space="0" w:color="auto"/>
          </w:divBdr>
        </w:div>
      </w:divsChild>
    </w:div>
    <w:div w:id="1796606713">
      <w:bodyDiv w:val="1"/>
      <w:marLeft w:val="0"/>
      <w:marRight w:val="0"/>
      <w:marTop w:val="0"/>
      <w:marBottom w:val="0"/>
      <w:divBdr>
        <w:top w:val="none" w:sz="0" w:space="0" w:color="auto"/>
        <w:left w:val="none" w:sz="0" w:space="0" w:color="auto"/>
        <w:bottom w:val="none" w:sz="0" w:space="0" w:color="auto"/>
        <w:right w:val="none" w:sz="0" w:space="0" w:color="auto"/>
      </w:divBdr>
    </w:div>
    <w:div w:id="1839147885">
      <w:bodyDiv w:val="1"/>
      <w:marLeft w:val="0"/>
      <w:marRight w:val="0"/>
      <w:marTop w:val="0"/>
      <w:marBottom w:val="0"/>
      <w:divBdr>
        <w:top w:val="none" w:sz="0" w:space="0" w:color="auto"/>
        <w:left w:val="none" w:sz="0" w:space="0" w:color="auto"/>
        <w:bottom w:val="none" w:sz="0" w:space="0" w:color="auto"/>
        <w:right w:val="none" w:sz="0" w:space="0" w:color="auto"/>
      </w:divBdr>
    </w:div>
    <w:div w:id="1876041245">
      <w:bodyDiv w:val="1"/>
      <w:marLeft w:val="0"/>
      <w:marRight w:val="0"/>
      <w:marTop w:val="0"/>
      <w:marBottom w:val="0"/>
      <w:divBdr>
        <w:top w:val="none" w:sz="0" w:space="0" w:color="auto"/>
        <w:left w:val="none" w:sz="0" w:space="0" w:color="auto"/>
        <w:bottom w:val="none" w:sz="0" w:space="0" w:color="auto"/>
        <w:right w:val="none" w:sz="0" w:space="0" w:color="auto"/>
      </w:divBdr>
    </w:div>
    <w:div w:id="1891112049">
      <w:bodyDiv w:val="1"/>
      <w:marLeft w:val="0"/>
      <w:marRight w:val="0"/>
      <w:marTop w:val="0"/>
      <w:marBottom w:val="0"/>
      <w:divBdr>
        <w:top w:val="none" w:sz="0" w:space="0" w:color="auto"/>
        <w:left w:val="none" w:sz="0" w:space="0" w:color="auto"/>
        <w:bottom w:val="none" w:sz="0" w:space="0" w:color="auto"/>
        <w:right w:val="none" w:sz="0" w:space="0" w:color="auto"/>
      </w:divBdr>
    </w:div>
    <w:div w:id="1900895628">
      <w:bodyDiv w:val="1"/>
      <w:marLeft w:val="0"/>
      <w:marRight w:val="0"/>
      <w:marTop w:val="0"/>
      <w:marBottom w:val="0"/>
      <w:divBdr>
        <w:top w:val="none" w:sz="0" w:space="0" w:color="auto"/>
        <w:left w:val="none" w:sz="0" w:space="0" w:color="auto"/>
        <w:bottom w:val="none" w:sz="0" w:space="0" w:color="auto"/>
        <w:right w:val="none" w:sz="0" w:space="0" w:color="auto"/>
      </w:divBdr>
    </w:div>
    <w:div w:id="1905022860">
      <w:bodyDiv w:val="1"/>
      <w:marLeft w:val="0"/>
      <w:marRight w:val="0"/>
      <w:marTop w:val="0"/>
      <w:marBottom w:val="0"/>
      <w:divBdr>
        <w:top w:val="none" w:sz="0" w:space="0" w:color="auto"/>
        <w:left w:val="none" w:sz="0" w:space="0" w:color="auto"/>
        <w:bottom w:val="none" w:sz="0" w:space="0" w:color="auto"/>
        <w:right w:val="none" w:sz="0" w:space="0" w:color="auto"/>
      </w:divBdr>
    </w:div>
    <w:div w:id="1916164928">
      <w:bodyDiv w:val="1"/>
      <w:marLeft w:val="0"/>
      <w:marRight w:val="0"/>
      <w:marTop w:val="0"/>
      <w:marBottom w:val="0"/>
      <w:divBdr>
        <w:top w:val="none" w:sz="0" w:space="0" w:color="auto"/>
        <w:left w:val="none" w:sz="0" w:space="0" w:color="auto"/>
        <w:bottom w:val="none" w:sz="0" w:space="0" w:color="auto"/>
        <w:right w:val="none" w:sz="0" w:space="0" w:color="auto"/>
      </w:divBdr>
      <w:divsChild>
        <w:div w:id="645938610">
          <w:marLeft w:val="0"/>
          <w:marRight w:val="0"/>
          <w:marTop w:val="0"/>
          <w:marBottom w:val="0"/>
          <w:divBdr>
            <w:top w:val="none" w:sz="0" w:space="0" w:color="auto"/>
            <w:left w:val="none" w:sz="0" w:space="0" w:color="auto"/>
            <w:bottom w:val="none" w:sz="0" w:space="0" w:color="auto"/>
            <w:right w:val="none" w:sz="0" w:space="0" w:color="auto"/>
          </w:divBdr>
        </w:div>
        <w:div w:id="2090692753">
          <w:marLeft w:val="0"/>
          <w:marRight w:val="0"/>
          <w:marTop w:val="0"/>
          <w:marBottom w:val="0"/>
          <w:divBdr>
            <w:top w:val="none" w:sz="0" w:space="0" w:color="auto"/>
            <w:left w:val="none" w:sz="0" w:space="0" w:color="auto"/>
            <w:bottom w:val="none" w:sz="0" w:space="0" w:color="auto"/>
            <w:right w:val="none" w:sz="0" w:space="0" w:color="auto"/>
          </w:divBdr>
        </w:div>
        <w:div w:id="652761517">
          <w:marLeft w:val="0"/>
          <w:marRight w:val="0"/>
          <w:marTop w:val="0"/>
          <w:marBottom w:val="0"/>
          <w:divBdr>
            <w:top w:val="none" w:sz="0" w:space="0" w:color="auto"/>
            <w:left w:val="none" w:sz="0" w:space="0" w:color="auto"/>
            <w:bottom w:val="none" w:sz="0" w:space="0" w:color="auto"/>
            <w:right w:val="none" w:sz="0" w:space="0" w:color="auto"/>
          </w:divBdr>
        </w:div>
        <w:div w:id="1728337291">
          <w:marLeft w:val="0"/>
          <w:marRight w:val="0"/>
          <w:marTop w:val="0"/>
          <w:marBottom w:val="0"/>
          <w:divBdr>
            <w:top w:val="none" w:sz="0" w:space="0" w:color="auto"/>
            <w:left w:val="none" w:sz="0" w:space="0" w:color="auto"/>
            <w:bottom w:val="none" w:sz="0" w:space="0" w:color="auto"/>
            <w:right w:val="none" w:sz="0" w:space="0" w:color="auto"/>
          </w:divBdr>
        </w:div>
        <w:div w:id="1498498383">
          <w:marLeft w:val="0"/>
          <w:marRight w:val="0"/>
          <w:marTop w:val="0"/>
          <w:marBottom w:val="0"/>
          <w:divBdr>
            <w:top w:val="none" w:sz="0" w:space="0" w:color="auto"/>
            <w:left w:val="none" w:sz="0" w:space="0" w:color="auto"/>
            <w:bottom w:val="none" w:sz="0" w:space="0" w:color="auto"/>
            <w:right w:val="none" w:sz="0" w:space="0" w:color="auto"/>
          </w:divBdr>
        </w:div>
        <w:div w:id="1959599274">
          <w:marLeft w:val="0"/>
          <w:marRight w:val="0"/>
          <w:marTop w:val="0"/>
          <w:marBottom w:val="0"/>
          <w:divBdr>
            <w:top w:val="none" w:sz="0" w:space="0" w:color="auto"/>
            <w:left w:val="none" w:sz="0" w:space="0" w:color="auto"/>
            <w:bottom w:val="none" w:sz="0" w:space="0" w:color="auto"/>
            <w:right w:val="none" w:sz="0" w:space="0" w:color="auto"/>
          </w:divBdr>
        </w:div>
        <w:div w:id="666520356">
          <w:marLeft w:val="0"/>
          <w:marRight w:val="0"/>
          <w:marTop w:val="0"/>
          <w:marBottom w:val="0"/>
          <w:divBdr>
            <w:top w:val="none" w:sz="0" w:space="0" w:color="auto"/>
            <w:left w:val="none" w:sz="0" w:space="0" w:color="auto"/>
            <w:bottom w:val="none" w:sz="0" w:space="0" w:color="auto"/>
            <w:right w:val="none" w:sz="0" w:space="0" w:color="auto"/>
          </w:divBdr>
        </w:div>
        <w:div w:id="1085305820">
          <w:marLeft w:val="0"/>
          <w:marRight w:val="0"/>
          <w:marTop w:val="0"/>
          <w:marBottom w:val="0"/>
          <w:divBdr>
            <w:top w:val="none" w:sz="0" w:space="0" w:color="auto"/>
            <w:left w:val="none" w:sz="0" w:space="0" w:color="auto"/>
            <w:bottom w:val="none" w:sz="0" w:space="0" w:color="auto"/>
            <w:right w:val="none" w:sz="0" w:space="0" w:color="auto"/>
          </w:divBdr>
        </w:div>
      </w:divsChild>
    </w:div>
    <w:div w:id="1929464960">
      <w:bodyDiv w:val="1"/>
      <w:marLeft w:val="0"/>
      <w:marRight w:val="0"/>
      <w:marTop w:val="0"/>
      <w:marBottom w:val="0"/>
      <w:divBdr>
        <w:top w:val="none" w:sz="0" w:space="0" w:color="auto"/>
        <w:left w:val="none" w:sz="0" w:space="0" w:color="auto"/>
        <w:bottom w:val="none" w:sz="0" w:space="0" w:color="auto"/>
        <w:right w:val="none" w:sz="0" w:space="0" w:color="auto"/>
      </w:divBdr>
    </w:div>
    <w:div w:id="1930459579">
      <w:bodyDiv w:val="1"/>
      <w:marLeft w:val="0"/>
      <w:marRight w:val="0"/>
      <w:marTop w:val="0"/>
      <w:marBottom w:val="0"/>
      <w:divBdr>
        <w:top w:val="none" w:sz="0" w:space="0" w:color="auto"/>
        <w:left w:val="none" w:sz="0" w:space="0" w:color="auto"/>
        <w:bottom w:val="none" w:sz="0" w:space="0" w:color="auto"/>
        <w:right w:val="none" w:sz="0" w:space="0" w:color="auto"/>
      </w:divBdr>
    </w:div>
    <w:div w:id="1935824282">
      <w:bodyDiv w:val="1"/>
      <w:marLeft w:val="0"/>
      <w:marRight w:val="0"/>
      <w:marTop w:val="0"/>
      <w:marBottom w:val="0"/>
      <w:divBdr>
        <w:top w:val="none" w:sz="0" w:space="0" w:color="auto"/>
        <w:left w:val="none" w:sz="0" w:space="0" w:color="auto"/>
        <w:bottom w:val="none" w:sz="0" w:space="0" w:color="auto"/>
        <w:right w:val="none" w:sz="0" w:space="0" w:color="auto"/>
      </w:divBdr>
    </w:div>
    <w:div w:id="1940066016">
      <w:bodyDiv w:val="1"/>
      <w:marLeft w:val="0"/>
      <w:marRight w:val="0"/>
      <w:marTop w:val="0"/>
      <w:marBottom w:val="0"/>
      <w:divBdr>
        <w:top w:val="none" w:sz="0" w:space="0" w:color="auto"/>
        <w:left w:val="none" w:sz="0" w:space="0" w:color="auto"/>
        <w:bottom w:val="none" w:sz="0" w:space="0" w:color="auto"/>
        <w:right w:val="none" w:sz="0" w:space="0" w:color="auto"/>
      </w:divBdr>
      <w:divsChild>
        <w:div w:id="2035691328">
          <w:marLeft w:val="0"/>
          <w:marRight w:val="0"/>
          <w:marTop w:val="0"/>
          <w:marBottom w:val="0"/>
          <w:divBdr>
            <w:top w:val="none" w:sz="0" w:space="0" w:color="auto"/>
            <w:left w:val="none" w:sz="0" w:space="0" w:color="auto"/>
            <w:bottom w:val="none" w:sz="0" w:space="0" w:color="auto"/>
            <w:right w:val="none" w:sz="0" w:space="0" w:color="auto"/>
          </w:divBdr>
        </w:div>
        <w:div w:id="947086365">
          <w:marLeft w:val="0"/>
          <w:marRight w:val="0"/>
          <w:marTop w:val="0"/>
          <w:marBottom w:val="0"/>
          <w:divBdr>
            <w:top w:val="none" w:sz="0" w:space="0" w:color="auto"/>
            <w:left w:val="none" w:sz="0" w:space="0" w:color="auto"/>
            <w:bottom w:val="none" w:sz="0" w:space="0" w:color="auto"/>
            <w:right w:val="none" w:sz="0" w:space="0" w:color="auto"/>
          </w:divBdr>
        </w:div>
        <w:div w:id="1677228997">
          <w:marLeft w:val="0"/>
          <w:marRight w:val="0"/>
          <w:marTop w:val="0"/>
          <w:marBottom w:val="0"/>
          <w:divBdr>
            <w:top w:val="none" w:sz="0" w:space="0" w:color="auto"/>
            <w:left w:val="none" w:sz="0" w:space="0" w:color="auto"/>
            <w:bottom w:val="none" w:sz="0" w:space="0" w:color="auto"/>
            <w:right w:val="none" w:sz="0" w:space="0" w:color="auto"/>
          </w:divBdr>
        </w:div>
        <w:div w:id="1604919696">
          <w:marLeft w:val="0"/>
          <w:marRight w:val="0"/>
          <w:marTop w:val="0"/>
          <w:marBottom w:val="0"/>
          <w:divBdr>
            <w:top w:val="none" w:sz="0" w:space="0" w:color="auto"/>
            <w:left w:val="none" w:sz="0" w:space="0" w:color="auto"/>
            <w:bottom w:val="none" w:sz="0" w:space="0" w:color="auto"/>
            <w:right w:val="none" w:sz="0" w:space="0" w:color="auto"/>
          </w:divBdr>
        </w:div>
        <w:div w:id="284510663">
          <w:marLeft w:val="0"/>
          <w:marRight w:val="0"/>
          <w:marTop w:val="0"/>
          <w:marBottom w:val="0"/>
          <w:divBdr>
            <w:top w:val="none" w:sz="0" w:space="0" w:color="auto"/>
            <w:left w:val="none" w:sz="0" w:space="0" w:color="auto"/>
            <w:bottom w:val="none" w:sz="0" w:space="0" w:color="auto"/>
            <w:right w:val="none" w:sz="0" w:space="0" w:color="auto"/>
          </w:divBdr>
        </w:div>
      </w:divsChild>
    </w:div>
    <w:div w:id="195509101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 w:id="2016877799">
      <w:bodyDiv w:val="1"/>
      <w:marLeft w:val="0"/>
      <w:marRight w:val="0"/>
      <w:marTop w:val="0"/>
      <w:marBottom w:val="0"/>
      <w:divBdr>
        <w:top w:val="none" w:sz="0" w:space="0" w:color="auto"/>
        <w:left w:val="none" w:sz="0" w:space="0" w:color="auto"/>
        <w:bottom w:val="none" w:sz="0" w:space="0" w:color="auto"/>
        <w:right w:val="none" w:sz="0" w:space="0" w:color="auto"/>
      </w:divBdr>
    </w:div>
    <w:div w:id="2017613939">
      <w:bodyDiv w:val="1"/>
      <w:marLeft w:val="0"/>
      <w:marRight w:val="0"/>
      <w:marTop w:val="0"/>
      <w:marBottom w:val="0"/>
      <w:divBdr>
        <w:top w:val="none" w:sz="0" w:space="0" w:color="auto"/>
        <w:left w:val="none" w:sz="0" w:space="0" w:color="auto"/>
        <w:bottom w:val="none" w:sz="0" w:space="0" w:color="auto"/>
        <w:right w:val="none" w:sz="0" w:space="0" w:color="auto"/>
      </w:divBdr>
    </w:div>
    <w:div w:id="2059470829">
      <w:bodyDiv w:val="1"/>
      <w:marLeft w:val="0"/>
      <w:marRight w:val="0"/>
      <w:marTop w:val="0"/>
      <w:marBottom w:val="0"/>
      <w:divBdr>
        <w:top w:val="none" w:sz="0" w:space="0" w:color="auto"/>
        <w:left w:val="none" w:sz="0" w:space="0" w:color="auto"/>
        <w:bottom w:val="none" w:sz="0" w:space="0" w:color="auto"/>
        <w:right w:val="none" w:sz="0" w:space="0" w:color="auto"/>
      </w:divBdr>
    </w:div>
    <w:div w:id="2105151124">
      <w:bodyDiv w:val="1"/>
      <w:marLeft w:val="0"/>
      <w:marRight w:val="0"/>
      <w:marTop w:val="0"/>
      <w:marBottom w:val="0"/>
      <w:divBdr>
        <w:top w:val="none" w:sz="0" w:space="0" w:color="auto"/>
        <w:left w:val="none" w:sz="0" w:space="0" w:color="auto"/>
        <w:bottom w:val="none" w:sz="0" w:space="0" w:color="auto"/>
        <w:right w:val="none" w:sz="0" w:space="0" w:color="auto"/>
      </w:divBdr>
    </w:div>
    <w:div w:id="211185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lrc.gov.au/publications/equality-capacity-disability-report-124" TargetMode="External"/><Relationship Id="rId18" Type="http://schemas.openxmlformats.org/officeDocument/2006/relationships/hyperlink" Target="http://nswcid.blogspot.com.au/2015/06/supported-decision-making-yes-but-what.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lawreform.vic.gov.au/sites/default/files/Guardianship_FinalReport_Full%20text.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ndis.gov.au/about-us/governance/legislation/ndis-act-review"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dac.info/sites/mdac.info/files/English_Supported_Decision-making_An_Alternative_to_Guardianship.pdf" TargetMode="External"/><Relationship Id="rId20" Type="http://schemas.openxmlformats.org/officeDocument/2006/relationships/hyperlink" Target="http://www.refworld.org/docid/45f973632.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ohchr.org/en/%20professionalinterest/pages/ccpr.aspx" TargetMode="External"/><Relationship Id="rId23" Type="http://schemas.openxmlformats.org/officeDocument/2006/relationships/footer" Target="footer2.xml"/><Relationship Id="rId10" Type="http://schemas.openxmlformats.org/officeDocument/2006/relationships/hyperlink" Target="http://www.disabilitycouncil.nsw.gov.au" TargetMode="External"/><Relationship Id="rId19" Type="http://schemas.openxmlformats.org/officeDocument/2006/relationships/hyperlink" Target="http://www.publicadvocate.vic.gov.au/advocacy-research/ndi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co-cdo.org/disabilities/bach-kerzner.pdf"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ndis.gov.au/about-us/governance/legislation/ndis-act-review" TargetMode="External"/><Relationship Id="rId13" Type="http://schemas.openxmlformats.org/officeDocument/2006/relationships/hyperlink" Target="http://www.lawreform.vic.gov.au/sites/%20default/files/Guardianship_FinalReport_Full%20text.pdf" TargetMode="External"/><Relationship Id="rId18" Type="http://schemas.openxmlformats.org/officeDocument/2006/relationships/hyperlink" Target="http://www.lawreform.vic.gov.au/sites/%20default/files/Guardianship_FinalReport_Full%20text.pdf" TargetMode="External"/><Relationship Id="rId3" Type="http://schemas.openxmlformats.org/officeDocument/2006/relationships/hyperlink" Target="http://www.ohchr.org/en/professionalinterest/pages/ccpr.aspx" TargetMode="External"/><Relationship Id="rId7" Type="http://schemas.openxmlformats.org/officeDocument/2006/relationships/hyperlink" Target="http://www.lawreform.vic.gov.au/sites/%20default/files/Guardianship_FinalReport_Full%20text.pdf" TargetMode="External"/><Relationship Id="rId12" Type="http://schemas.openxmlformats.org/officeDocument/2006/relationships/hyperlink" Target="http://www.adhc.nsw.gov.au/__data/%20assets/file/0009/346194/sdm_pilot_project_evaluation_report.pdf" TargetMode="External"/><Relationship Id="rId17" Type="http://schemas.openxmlformats.org/officeDocument/2006/relationships/hyperlink" Target="http://nswcid.blogspot.com.au/2015/06/supported-decision-making-yes-but-what.html" TargetMode="External"/><Relationship Id="rId2" Type="http://schemas.openxmlformats.org/officeDocument/2006/relationships/hyperlink" Target="http://www.refworld.org/docid/45f973632.html" TargetMode="External"/><Relationship Id="rId16" Type="http://schemas.openxmlformats.org/officeDocument/2006/relationships/hyperlink" Target="https://www.alrc.gov.au/publications/equality-capacity-disability-report-124" TargetMode="External"/><Relationship Id="rId1" Type="http://schemas.openxmlformats.org/officeDocument/2006/relationships/hyperlink" Target="http://www.disabilitycouncil.nsw.gov.au/__data/%20assets/pdf_file/0016/311290/210814-Feedback-Report-on-NDS-Implementation-Plan.pdf" TargetMode="External"/><Relationship Id="rId6" Type="http://schemas.openxmlformats.org/officeDocument/2006/relationships/hyperlink" Target="https://www.alrc.gov.au/publications/equality-capacity-disability-report-124" TargetMode="External"/><Relationship Id="rId11" Type="http://schemas.openxmlformats.org/officeDocument/2006/relationships/hyperlink" Target="https://www.alrc.gov.au/publications/equality-capacity-disability-report-124" TargetMode="External"/><Relationship Id="rId5" Type="http://schemas.openxmlformats.org/officeDocument/2006/relationships/hyperlink" Target="http://www.lawreform.vic.gov.au/sites/%20default/files/Guardianship_FinalReport_Full%20text.pdf" TargetMode="External"/><Relationship Id="rId15" Type="http://schemas.openxmlformats.org/officeDocument/2006/relationships/hyperlink" Target="http://mdac.info/sites/mdac.info/files/English_Supported_Decision-making_An_Alternative_to_Guardianship.pdf" TargetMode="External"/><Relationship Id="rId10" Type="http://schemas.openxmlformats.org/officeDocument/2006/relationships/hyperlink" Target="http://www.publicadvocate.vic.gov.au/advocacy-research/ndis" TargetMode="External"/><Relationship Id="rId19" Type="http://schemas.openxmlformats.org/officeDocument/2006/relationships/hyperlink" Target="http://www.lawreform.vic.gov.au/sites/%20default/files/Guardianship_FinalReport_Full%20text.pdf" TargetMode="External"/><Relationship Id="rId4" Type="http://schemas.openxmlformats.org/officeDocument/2006/relationships/hyperlink" Target="https://www.alrc.gov.au/publications/equality-capacity-disability-report-124" TargetMode="External"/><Relationship Id="rId9" Type="http://schemas.openxmlformats.org/officeDocument/2006/relationships/hyperlink" Target="http://www.lco-cdo.org/disabilities/bach-kerzner.pdf" TargetMode="External"/><Relationship Id="rId14" Type="http://schemas.openxmlformats.org/officeDocument/2006/relationships/hyperlink" Target="https://www.alrc.gov.au/publications/equality-capacity-disability-report-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6E2D5-362B-4A47-9695-87264E55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EA8A0E6B</Template>
  <TotalTime>1</TotalTime>
  <Pages>20</Pages>
  <Words>7514</Words>
  <Characters>42834</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50248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Mala Wadhera</dc:creator>
  <cp:lastModifiedBy>Anita Joseph</cp:lastModifiedBy>
  <cp:revision>2</cp:revision>
  <cp:lastPrinted>2016-03-17T07:07:00Z</cp:lastPrinted>
  <dcterms:created xsi:type="dcterms:W3CDTF">2016-03-21T05:53:00Z</dcterms:created>
  <dcterms:modified xsi:type="dcterms:W3CDTF">2016-03-21T05:53:00Z</dcterms:modified>
</cp:coreProperties>
</file>