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C2076" w14:textId="60906D78" w:rsidR="0070409D" w:rsidRPr="00A36AC8" w:rsidRDefault="0070409D" w:rsidP="00CB1758">
      <w:pPr>
        <w:kinsoku w:val="0"/>
        <w:overflowPunct w:val="0"/>
        <w:autoSpaceDE/>
        <w:autoSpaceDN/>
        <w:adjustRightInd/>
        <w:spacing w:before="101" w:line="509" w:lineRule="exact"/>
        <w:textAlignment w:val="baseline"/>
        <w:rPr>
          <w:rFonts w:ascii="Arial" w:hAnsi="Arial" w:cs="Arial"/>
          <w:b/>
          <w:color w:val="002060"/>
          <w:w w:val="95"/>
          <w:sz w:val="28"/>
          <w:szCs w:val="28"/>
        </w:rPr>
      </w:pPr>
      <w:r w:rsidRPr="00A36AC8">
        <w:rPr>
          <w:rFonts w:ascii="Arial" w:hAnsi="Arial" w:cs="Arial"/>
          <w:b/>
          <w:color w:val="002060"/>
          <w:w w:val="95"/>
          <w:sz w:val="28"/>
          <w:szCs w:val="28"/>
        </w:rPr>
        <w:t xml:space="preserve">NSW </w:t>
      </w:r>
      <w:r w:rsidR="000928FF" w:rsidRPr="00A36AC8">
        <w:rPr>
          <w:rFonts w:ascii="Arial" w:hAnsi="Arial" w:cs="Arial"/>
          <w:b/>
          <w:color w:val="002060"/>
          <w:w w:val="95"/>
          <w:sz w:val="28"/>
          <w:szCs w:val="28"/>
        </w:rPr>
        <w:t xml:space="preserve">Community Housing Industry </w:t>
      </w:r>
      <w:r w:rsidR="003F4FC8" w:rsidRPr="00A36AC8">
        <w:rPr>
          <w:rFonts w:ascii="Arial" w:hAnsi="Arial" w:cs="Arial"/>
          <w:b/>
          <w:color w:val="002060"/>
          <w:w w:val="95"/>
          <w:sz w:val="28"/>
          <w:szCs w:val="28"/>
        </w:rPr>
        <w:t>Council –</w:t>
      </w:r>
      <w:r w:rsidR="0020515F" w:rsidRPr="00A36AC8">
        <w:rPr>
          <w:rFonts w:ascii="Arial" w:hAnsi="Arial" w:cs="Arial"/>
          <w:b/>
          <w:color w:val="002060"/>
          <w:w w:val="95"/>
          <w:sz w:val="28"/>
          <w:szCs w:val="28"/>
        </w:rPr>
        <w:t xml:space="preserve"> </w:t>
      </w:r>
      <w:r w:rsidR="00CD1A06" w:rsidRPr="00A36AC8">
        <w:rPr>
          <w:rFonts w:ascii="Arial" w:hAnsi="Arial" w:cs="Arial"/>
          <w:b/>
          <w:color w:val="002060"/>
          <w:w w:val="95"/>
          <w:sz w:val="28"/>
          <w:szCs w:val="28"/>
        </w:rPr>
        <w:t xml:space="preserve">Work </w:t>
      </w:r>
      <w:r w:rsidR="003F4FC8" w:rsidRPr="00A36AC8">
        <w:rPr>
          <w:rFonts w:ascii="Arial" w:hAnsi="Arial" w:cs="Arial"/>
          <w:b/>
          <w:color w:val="002060"/>
          <w:w w:val="95"/>
          <w:sz w:val="28"/>
          <w:szCs w:val="28"/>
        </w:rPr>
        <w:t>Plan</w:t>
      </w:r>
      <w:r w:rsidRPr="00A36AC8">
        <w:rPr>
          <w:rFonts w:ascii="Arial" w:hAnsi="Arial" w:cs="Arial"/>
          <w:b/>
          <w:color w:val="002060"/>
          <w:w w:val="95"/>
          <w:sz w:val="28"/>
          <w:szCs w:val="28"/>
        </w:rPr>
        <w:t xml:space="preserve"> </w:t>
      </w:r>
      <w:r w:rsidR="001C4CE2" w:rsidRPr="00A36AC8">
        <w:rPr>
          <w:rFonts w:ascii="Arial" w:hAnsi="Arial" w:cs="Arial"/>
          <w:b/>
          <w:color w:val="002060"/>
          <w:w w:val="95"/>
          <w:sz w:val="28"/>
          <w:szCs w:val="28"/>
        </w:rPr>
        <w:t xml:space="preserve">2022 </w:t>
      </w:r>
      <w:r w:rsidRPr="00A36AC8">
        <w:rPr>
          <w:rFonts w:ascii="Arial" w:hAnsi="Arial" w:cs="Arial"/>
          <w:b/>
          <w:color w:val="002060"/>
          <w:w w:val="95"/>
          <w:sz w:val="28"/>
          <w:szCs w:val="28"/>
        </w:rPr>
        <w:t>-</w:t>
      </w:r>
      <w:r w:rsidR="0020515F" w:rsidRPr="00A36AC8">
        <w:rPr>
          <w:rFonts w:ascii="Arial" w:hAnsi="Arial" w:cs="Arial"/>
          <w:b/>
          <w:color w:val="002060"/>
          <w:w w:val="95"/>
          <w:sz w:val="28"/>
          <w:szCs w:val="28"/>
        </w:rPr>
        <w:t xml:space="preserve"> </w:t>
      </w:r>
      <w:r w:rsidR="001C4CE2" w:rsidRPr="00A36AC8">
        <w:rPr>
          <w:rFonts w:ascii="Arial" w:hAnsi="Arial" w:cs="Arial"/>
          <w:b/>
          <w:color w:val="002060"/>
          <w:w w:val="95"/>
          <w:sz w:val="28"/>
          <w:szCs w:val="28"/>
        </w:rPr>
        <w:t>2024</w:t>
      </w:r>
    </w:p>
    <w:tbl>
      <w:tblPr>
        <w:tblW w:w="0" w:type="auto"/>
        <w:tblInd w:w="57" w:type="dxa"/>
        <w:tblBorders>
          <w:bottom w:val="single" w:sz="8" w:space="0" w:color="01215C"/>
          <w:insideH w:val="single" w:sz="8" w:space="0" w:color="EEECE1"/>
        </w:tblBorders>
        <w:tblCellMar>
          <w:top w:w="57" w:type="dxa"/>
          <w:left w:w="57" w:type="dxa"/>
          <w:bottom w:w="57" w:type="dxa"/>
          <w:right w:w="57" w:type="dxa"/>
        </w:tblCellMar>
        <w:tblLook w:val="04A0" w:firstRow="1" w:lastRow="0" w:firstColumn="1" w:lastColumn="0" w:noHBand="0" w:noVBand="1"/>
      </w:tblPr>
      <w:tblGrid>
        <w:gridCol w:w="1784"/>
        <w:gridCol w:w="12729"/>
      </w:tblGrid>
      <w:tr w:rsidR="0070409D" w:rsidRPr="00A36AC8" w14:paraId="4DCB334D" w14:textId="77777777" w:rsidTr="00903889">
        <w:tc>
          <w:tcPr>
            <w:tcW w:w="1784" w:type="dxa"/>
            <w:tcBorders>
              <w:top w:val="single" w:sz="4" w:space="0" w:color="auto"/>
              <w:left w:val="nil"/>
              <w:bottom w:val="single" w:sz="4" w:space="0" w:color="auto"/>
              <w:right w:val="nil"/>
              <w:tl2br w:val="nil"/>
              <w:tr2bl w:val="nil"/>
            </w:tcBorders>
            <w:shd w:val="clear" w:color="auto" w:fill="FFFFFF"/>
          </w:tcPr>
          <w:p w14:paraId="40464DB9" w14:textId="77777777" w:rsidR="0070409D" w:rsidRPr="00A36AC8" w:rsidRDefault="0070409D" w:rsidP="00884D82">
            <w:pPr>
              <w:rPr>
                <w:rFonts w:ascii="Arial" w:hAnsi="Arial" w:cs="Arial"/>
                <w:b/>
                <w:szCs w:val="20"/>
              </w:rPr>
            </w:pPr>
            <w:r w:rsidRPr="00A36AC8">
              <w:rPr>
                <w:rFonts w:ascii="Arial" w:hAnsi="Arial" w:cs="Arial"/>
                <w:b/>
                <w:i/>
                <w:szCs w:val="20"/>
              </w:rPr>
              <w:t>Our role</w:t>
            </w:r>
          </w:p>
        </w:tc>
        <w:tc>
          <w:tcPr>
            <w:tcW w:w="12729" w:type="dxa"/>
            <w:tcBorders>
              <w:top w:val="single" w:sz="4" w:space="0" w:color="auto"/>
              <w:left w:val="nil"/>
              <w:bottom w:val="single" w:sz="4" w:space="0" w:color="auto"/>
              <w:right w:val="nil"/>
              <w:tl2br w:val="nil"/>
              <w:tr2bl w:val="nil"/>
            </w:tcBorders>
            <w:shd w:val="clear" w:color="auto" w:fill="FFFFFF"/>
          </w:tcPr>
          <w:p w14:paraId="64207989" w14:textId="4C43AEBF" w:rsidR="0070409D" w:rsidRPr="00A36AC8" w:rsidRDefault="006B75CD" w:rsidP="00A74992">
            <w:pPr>
              <w:rPr>
                <w:rFonts w:ascii="Arial" w:hAnsi="Arial" w:cs="Arial"/>
                <w:szCs w:val="20"/>
              </w:rPr>
            </w:pPr>
            <w:r w:rsidRPr="00A36AC8">
              <w:rPr>
                <w:rFonts w:ascii="Arial" w:hAnsi="Arial" w:cs="Arial"/>
                <w:szCs w:val="20"/>
              </w:rPr>
              <w:t>The NSW Community Housing Industry Council (</w:t>
            </w:r>
            <w:r w:rsidR="00631804" w:rsidRPr="00A36AC8">
              <w:rPr>
                <w:rFonts w:ascii="Arial" w:hAnsi="Arial" w:cs="Arial"/>
                <w:szCs w:val="20"/>
              </w:rPr>
              <w:t>CHIC</w:t>
            </w:r>
            <w:r w:rsidRPr="00A36AC8">
              <w:rPr>
                <w:rFonts w:ascii="Arial" w:hAnsi="Arial" w:cs="Arial"/>
                <w:szCs w:val="20"/>
              </w:rPr>
              <w:t xml:space="preserve">) </w:t>
            </w:r>
            <w:r w:rsidR="008123D7" w:rsidRPr="00A36AC8">
              <w:rPr>
                <w:rFonts w:ascii="Arial" w:hAnsi="Arial" w:cs="Arial"/>
                <w:szCs w:val="20"/>
              </w:rPr>
              <w:t>fosters</w:t>
            </w:r>
            <w:r w:rsidR="0028443B" w:rsidRPr="00A36AC8">
              <w:rPr>
                <w:rFonts w:ascii="Arial" w:hAnsi="Arial" w:cs="Arial"/>
                <w:szCs w:val="20"/>
              </w:rPr>
              <w:t xml:space="preserve"> </w:t>
            </w:r>
            <w:r w:rsidR="000706CD" w:rsidRPr="00A36AC8">
              <w:rPr>
                <w:rFonts w:ascii="Arial" w:hAnsi="Arial" w:cs="Arial"/>
                <w:szCs w:val="20"/>
              </w:rPr>
              <w:t xml:space="preserve">the </w:t>
            </w:r>
            <w:r w:rsidR="0028443B" w:rsidRPr="00A36AC8">
              <w:rPr>
                <w:rFonts w:ascii="Arial" w:hAnsi="Arial" w:cs="Arial"/>
                <w:szCs w:val="20"/>
              </w:rPr>
              <w:t xml:space="preserve">relationship between government and the community housing industry to </w:t>
            </w:r>
            <w:r w:rsidR="000706CD" w:rsidRPr="00A36AC8">
              <w:rPr>
                <w:rFonts w:ascii="Arial" w:hAnsi="Arial" w:cs="Arial"/>
                <w:szCs w:val="20"/>
              </w:rPr>
              <w:t>provide</w:t>
            </w:r>
            <w:r w:rsidR="0028443B" w:rsidRPr="00A36AC8">
              <w:rPr>
                <w:rFonts w:ascii="Arial" w:hAnsi="Arial" w:cs="Arial"/>
                <w:szCs w:val="20"/>
              </w:rPr>
              <w:t xml:space="preserve"> </w:t>
            </w:r>
            <w:r w:rsidR="000706CD" w:rsidRPr="00A36AC8">
              <w:rPr>
                <w:rFonts w:ascii="Arial" w:hAnsi="Arial" w:cs="Arial"/>
                <w:szCs w:val="20"/>
              </w:rPr>
              <w:t xml:space="preserve">better </w:t>
            </w:r>
            <w:r w:rsidR="0028443B" w:rsidRPr="00A36AC8">
              <w:rPr>
                <w:rFonts w:ascii="Arial" w:hAnsi="Arial" w:cs="Arial"/>
                <w:szCs w:val="20"/>
              </w:rPr>
              <w:t>strategic policy advice to</w:t>
            </w:r>
            <w:r w:rsidRPr="00A36AC8">
              <w:rPr>
                <w:rFonts w:ascii="Arial" w:hAnsi="Arial" w:cs="Arial"/>
                <w:szCs w:val="20"/>
              </w:rPr>
              <w:t xml:space="preserve"> government on</w:t>
            </w:r>
            <w:r w:rsidR="000706CD" w:rsidRPr="00A36AC8">
              <w:rPr>
                <w:rFonts w:ascii="Arial" w:hAnsi="Arial" w:cs="Arial"/>
                <w:szCs w:val="20"/>
              </w:rPr>
              <w:t xml:space="preserve"> the </w:t>
            </w:r>
            <w:r w:rsidR="004B1853" w:rsidRPr="00A36AC8">
              <w:rPr>
                <w:rFonts w:ascii="Arial" w:hAnsi="Arial" w:cs="Arial"/>
                <w:szCs w:val="20"/>
              </w:rPr>
              <w:t xml:space="preserve">industry’s </w:t>
            </w:r>
            <w:r w:rsidR="00EF0B6D" w:rsidRPr="00A36AC8">
              <w:rPr>
                <w:rFonts w:ascii="Arial" w:hAnsi="Arial" w:cs="Arial"/>
                <w:szCs w:val="20"/>
              </w:rPr>
              <w:t xml:space="preserve">potential and on its </w:t>
            </w:r>
            <w:r w:rsidR="004B1853" w:rsidRPr="00A36AC8">
              <w:rPr>
                <w:rFonts w:ascii="Arial" w:hAnsi="Arial" w:cs="Arial"/>
                <w:szCs w:val="20"/>
              </w:rPr>
              <w:t>development.</w:t>
            </w:r>
          </w:p>
          <w:p w14:paraId="0EBBBC08" w14:textId="77777777" w:rsidR="00A74992" w:rsidRPr="00A36AC8" w:rsidRDefault="00A74992" w:rsidP="00631804">
            <w:pPr>
              <w:rPr>
                <w:rFonts w:ascii="Arial" w:hAnsi="Arial" w:cs="Arial"/>
                <w:szCs w:val="20"/>
              </w:rPr>
            </w:pPr>
          </w:p>
          <w:p w14:paraId="4CE379F9" w14:textId="2ECFB473" w:rsidR="00FD0A5B" w:rsidRPr="00A36AC8" w:rsidRDefault="00631804" w:rsidP="005D194A">
            <w:pPr>
              <w:rPr>
                <w:rFonts w:ascii="Arial" w:hAnsi="Arial" w:cs="Arial"/>
                <w:szCs w:val="20"/>
              </w:rPr>
            </w:pPr>
            <w:r w:rsidRPr="00A36AC8">
              <w:rPr>
                <w:rFonts w:ascii="Arial" w:hAnsi="Arial" w:cs="Arial"/>
                <w:szCs w:val="20"/>
              </w:rPr>
              <w:t>The CHIC support</w:t>
            </w:r>
            <w:r w:rsidR="00A74992" w:rsidRPr="00A36AC8">
              <w:rPr>
                <w:rFonts w:ascii="Arial" w:hAnsi="Arial" w:cs="Arial"/>
                <w:szCs w:val="20"/>
              </w:rPr>
              <w:t>s</w:t>
            </w:r>
            <w:r w:rsidRPr="00A36AC8">
              <w:rPr>
                <w:rFonts w:ascii="Arial" w:hAnsi="Arial" w:cs="Arial"/>
                <w:szCs w:val="20"/>
              </w:rPr>
              <w:t xml:space="preserve"> growth of the industry </w:t>
            </w:r>
            <w:r w:rsidR="00A74992" w:rsidRPr="00A36AC8">
              <w:rPr>
                <w:rFonts w:ascii="Arial" w:hAnsi="Arial" w:cs="Arial"/>
                <w:szCs w:val="20"/>
              </w:rPr>
              <w:t>t</w:t>
            </w:r>
            <w:r w:rsidR="008123D7" w:rsidRPr="00A36AC8">
              <w:rPr>
                <w:rFonts w:ascii="Arial" w:hAnsi="Arial" w:cs="Arial"/>
                <w:szCs w:val="20"/>
              </w:rPr>
              <w:t>o meet</w:t>
            </w:r>
            <w:r w:rsidR="005D194A" w:rsidRPr="00A36AC8">
              <w:rPr>
                <w:rFonts w:ascii="Arial" w:hAnsi="Arial" w:cs="Arial"/>
                <w:szCs w:val="20"/>
              </w:rPr>
              <w:t xml:space="preserve"> government objectives and </w:t>
            </w:r>
            <w:r w:rsidRPr="00A36AC8">
              <w:rPr>
                <w:rFonts w:ascii="Arial" w:hAnsi="Arial" w:cs="Arial"/>
                <w:szCs w:val="20"/>
              </w:rPr>
              <w:t>community needs</w:t>
            </w:r>
            <w:r w:rsidR="005D194A" w:rsidRPr="00A36AC8">
              <w:rPr>
                <w:rFonts w:ascii="Arial" w:hAnsi="Arial" w:cs="Arial"/>
                <w:szCs w:val="20"/>
              </w:rPr>
              <w:t>,</w:t>
            </w:r>
            <w:r w:rsidRPr="00A36AC8">
              <w:rPr>
                <w:rFonts w:ascii="Arial" w:hAnsi="Arial" w:cs="Arial"/>
                <w:szCs w:val="20"/>
              </w:rPr>
              <w:t xml:space="preserve"> </w:t>
            </w:r>
            <w:r w:rsidR="005D194A" w:rsidRPr="00A36AC8">
              <w:rPr>
                <w:rFonts w:ascii="Arial" w:hAnsi="Arial" w:cs="Arial"/>
                <w:szCs w:val="20"/>
              </w:rPr>
              <w:t>and to</w:t>
            </w:r>
            <w:r w:rsidRPr="00A36AC8">
              <w:rPr>
                <w:rFonts w:ascii="Arial" w:hAnsi="Arial" w:cs="Arial"/>
                <w:szCs w:val="20"/>
              </w:rPr>
              <w:t xml:space="preserve"> strengthen</w:t>
            </w:r>
            <w:r w:rsidR="008123D7" w:rsidRPr="00A36AC8">
              <w:rPr>
                <w:rFonts w:ascii="Arial" w:hAnsi="Arial" w:cs="Arial"/>
                <w:szCs w:val="20"/>
              </w:rPr>
              <w:t xml:space="preserve"> the broader NSW housing system</w:t>
            </w:r>
            <w:r w:rsidR="008C3308" w:rsidRPr="00A36AC8">
              <w:rPr>
                <w:rFonts w:ascii="Arial" w:hAnsi="Arial" w:cs="Arial"/>
                <w:szCs w:val="20"/>
              </w:rPr>
              <w:t xml:space="preserve"> including the Aboriginal housing system</w:t>
            </w:r>
            <w:r w:rsidR="003163F5" w:rsidRPr="00A36AC8">
              <w:rPr>
                <w:rFonts w:ascii="Arial" w:hAnsi="Arial" w:cs="Arial"/>
                <w:szCs w:val="20"/>
              </w:rPr>
              <w:t>.</w:t>
            </w:r>
            <w:r w:rsidR="00E922D7" w:rsidRPr="00A36AC8">
              <w:rPr>
                <w:rFonts w:ascii="Arial" w:hAnsi="Arial" w:cs="Arial"/>
                <w:szCs w:val="20"/>
              </w:rPr>
              <w:t xml:space="preserve"> In this context, the community housing industry includes mainstream and Aboriginal community housing providers.</w:t>
            </w:r>
          </w:p>
        </w:tc>
      </w:tr>
      <w:tr w:rsidR="00631804" w:rsidRPr="00A36AC8" w14:paraId="29C7A922" w14:textId="77777777" w:rsidTr="00903889">
        <w:tc>
          <w:tcPr>
            <w:tcW w:w="1784" w:type="dxa"/>
            <w:tcBorders>
              <w:top w:val="single" w:sz="4" w:space="0" w:color="auto"/>
              <w:left w:val="nil"/>
              <w:bottom w:val="single" w:sz="4" w:space="0" w:color="auto"/>
              <w:right w:val="nil"/>
              <w:tl2br w:val="nil"/>
              <w:tr2bl w:val="nil"/>
            </w:tcBorders>
            <w:shd w:val="clear" w:color="auto" w:fill="FFFFFF"/>
          </w:tcPr>
          <w:p w14:paraId="077BF5C1" w14:textId="6C0C8D98" w:rsidR="00631804" w:rsidRPr="00A36AC8" w:rsidRDefault="00631804" w:rsidP="00631804">
            <w:pPr>
              <w:rPr>
                <w:rFonts w:ascii="Arial" w:hAnsi="Arial" w:cs="Arial"/>
                <w:b/>
                <w:i/>
                <w:szCs w:val="20"/>
              </w:rPr>
            </w:pPr>
            <w:r w:rsidRPr="00A36AC8">
              <w:rPr>
                <w:rFonts w:ascii="Arial" w:hAnsi="Arial" w:cs="Arial"/>
                <w:b/>
                <w:i/>
                <w:szCs w:val="20"/>
              </w:rPr>
              <w:t>Our strategic agenda</w:t>
            </w:r>
          </w:p>
        </w:tc>
        <w:tc>
          <w:tcPr>
            <w:tcW w:w="12729" w:type="dxa"/>
            <w:tcBorders>
              <w:top w:val="single" w:sz="4" w:space="0" w:color="auto"/>
              <w:left w:val="nil"/>
              <w:bottom w:val="single" w:sz="4" w:space="0" w:color="auto"/>
              <w:right w:val="nil"/>
              <w:tl2br w:val="nil"/>
              <w:tr2bl w:val="nil"/>
            </w:tcBorders>
            <w:shd w:val="clear" w:color="auto" w:fill="FFFFFF"/>
          </w:tcPr>
          <w:p w14:paraId="0A164F97" w14:textId="59E8D690" w:rsidR="0076215D" w:rsidRPr="00A36AC8" w:rsidRDefault="0076215D" w:rsidP="00631804">
            <w:pPr>
              <w:rPr>
                <w:rFonts w:ascii="Arial" w:hAnsi="Arial" w:cs="Arial"/>
                <w:szCs w:val="20"/>
              </w:rPr>
            </w:pPr>
            <w:r w:rsidRPr="00A36AC8">
              <w:rPr>
                <w:rFonts w:ascii="Arial" w:hAnsi="Arial" w:cs="Arial"/>
                <w:szCs w:val="20"/>
              </w:rPr>
              <w:t xml:space="preserve">The </w:t>
            </w:r>
            <w:r w:rsidR="004B1853" w:rsidRPr="00A36AC8">
              <w:rPr>
                <w:rFonts w:ascii="Arial" w:hAnsi="Arial" w:cs="Arial"/>
                <w:szCs w:val="20"/>
              </w:rPr>
              <w:t>strategic priorit</w:t>
            </w:r>
            <w:r w:rsidRPr="00A36AC8">
              <w:rPr>
                <w:rFonts w:ascii="Arial" w:hAnsi="Arial" w:cs="Arial"/>
                <w:szCs w:val="20"/>
              </w:rPr>
              <w:t xml:space="preserve">ies of the CHIC are to: </w:t>
            </w:r>
          </w:p>
          <w:p w14:paraId="3DBD2E94" w14:textId="5CACB29B" w:rsidR="0076215D" w:rsidRPr="00A36AC8" w:rsidRDefault="008336E4" w:rsidP="009D390A">
            <w:pPr>
              <w:pStyle w:val="ListParagraph"/>
              <w:numPr>
                <w:ilvl w:val="0"/>
                <w:numId w:val="13"/>
              </w:numPr>
              <w:rPr>
                <w:rFonts w:ascii="Arial" w:hAnsi="Arial" w:cs="Arial"/>
                <w:sz w:val="20"/>
                <w:szCs w:val="20"/>
              </w:rPr>
            </w:pPr>
            <w:r w:rsidRPr="00A36AC8">
              <w:rPr>
                <w:rFonts w:ascii="Arial" w:hAnsi="Arial" w:cs="Arial"/>
                <w:sz w:val="20"/>
                <w:szCs w:val="20"/>
              </w:rPr>
              <w:t xml:space="preserve">articulate </w:t>
            </w:r>
            <w:r w:rsidR="00F515DE" w:rsidRPr="00A36AC8">
              <w:rPr>
                <w:rFonts w:ascii="Arial" w:hAnsi="Arial" w:cs="Arial"/>
                <w:sz w:val="20"/>
                <w:szCs w:val="20"/>
              </w:rPr>
              <w:t xml:space="preserve">and advocate for </w:t>
            </w:r>
            <w:r w:rsidR="0076215D" w:rsidRPr="00A36AC8">
              <w:rPr>
                <w:rFonts w:ascii="Arial" w:hAnsi="Arial" w:cs="Arial"/>
                <w:sz w:val="20"/>
                <w:szCs w:val="20"/>
              </w:rPr>
              <w:t xml:space="preserve">an aspirational vision </w:t>
            </w:r>
            <w:r w:rsidR="0037606F" w:rsidRPr="00A36AC8">
              <w:rPr>
                <w:rFonts w:ascii="Arial" w:hAnsi="Arial" w:cs="Arial"/>
                <w:sz w:val="20"/>
                <w:szCs w:val="20"/>
              </w:rPr>
              <w:t xml:space="preserve">and strategy </w:t>
            </w:r>
            <w:r w:rsidR="0076215D" w:rsidRPr="00A36AC8">
              <w:rPr>
                <w:rFonts w:ascii="Arial" w:hAnsi="Arial" w:cs="Arial"/>
                <w:sz w:val="20"/>
                <w:szCs w:val="20"/>
              </w:rPr>
              <w:t>for the community housing industry</w:t>
            </w:r>
            <w:r w:rsidR="001305EA" w:rsidRPr="00A36AC8">
              <w:rPr>
                <w:rFonts w:ascii="Arial" w:hAnsi="Arial" w:cs="Arial"/>
                <w:sz w:val="20"/>
                <w:szCs w:val="20"/>
              </w:rPr>
              <w:t xml:space="preserve">, which aligns with the </w:t>
            </w:r>
            <w:r w:rsidR="00AC385B" w:rsidRPr="00A36AC8">
              <w:rPr>
                <w:rFonts w:ascii="Arial" w:hAnsi="Arial" w:cs="Arial"/>
                <w:sz w:val="20"/>
                <w:szCs w:val="20"/>
              </w:rPr>
              <w:t xml:space="preserve">Department of Planning and Environment </w:t>
            </w:r>
            <w:r w:rsidR="001305EA" w:rsidRPr="00A36AC8">
              <w:rPr>
                <w:rFonts w:ascii="Arial" w:hAnsi="Arial" w:cs="Arial"/>
                <w:i/>
                <w:sz w:val="20"/>
                <w:szCs w:val="20"/>
              </w:rPr>
              <w:t xml:space="preserve">Housing </w:t>
            </w:r>
            <w:r w:rsidR="00AC385B" w:rsidRPr="00A36AC8">
              <w:rPr>
                <w:rFonts w:ascii="Arial" w:hAnsi="Arial" w:cs="Arial"/>
                <w:i/>
                <w:sz w:val="20"/>
                <w:szCs w:val="20"/>
              </w:rPr>
              <w:t>20</w:t>
            </w:r>
            <w:r w:rsidR="001305EA" w:rsidRPr="00A36AC8">
              <w:rPr>
                <w:rFonts w:ascii="Arial" w:hAnsi="Arial" w:cs="Arial"/>
                <w:i/>
                <w:sz w:val="20"/>
                <w:szCs w:val="20"/>
              </w:rPr>
              <w:t>41</w:t>
            </w:r>
            <w:r w:rsidR="001305EA" w:rsidRPr="00A36AC8">
              <w:rPr>
                <w:rFonts w:ascii="Arial" w:hAnsi="Arial" w:cs="Arial"/>
                <w:sz w:val="20"/>
                <w:szCs w:val="20"/>
              </w:rPr>
              <w:t xml:space="preserve"> Strategy</w:t>
            </w:r>
            <w:r w:rsidR="0076215D" w:rsidRPr="00A36AC8">
              <w:rPr>
                <w:rFonts w:ascii="Arial" w:hAnsi="Arial" w:cs="Arial"/>
                <w:sz w:val="20"/>
                <w:szCs w:val="20"/>
              </w:rPr>
              <w:t xml:space="preserve"> </w:t>
            </w:r>
          </w:p>
          <w:p w14:paraId="12E99F6D" w14:textId="511187F7" w:rsidR="0037606F" w:rsidRPr="00A36AC8" w:rsidRDefault="0037606F" w:rsidP="009D390A">
            <w:pPr>
              <w:pStyle w:val="ListParagraph"/>
              <w:numPr>
                <w:ilvl w:val="0"/>
                <w:numId w:val="13"/>
              </w:numPr>
              <w:rPr>
                <w:rFonts w:ascii="Arial" w:hAnsi="Arial" w:cs="Arial"/>
                <w:sz w:val="20"/>
                <w:szCs w:val="20"/>
              </w:rPr>
            </w:pPr>
            <w:r w:rsidRPr="00A36AC8">
              <w:rPr>
                <w:rFonts w:ascii="Arial" w:hAnsi="Arial" w:cs="Arial"/>
                <w:sz w:val="20"/>
                <w:szCs w:val="20"/>
              </w:rPr>
              <w:t>increase supply of social and affordable housing</w:t>
            </w:r>
          </w:p>
          <w:p w14:paraId="39F17869" w14:textId="1E494700" w:rsidR="00ED0F88" w:rsidRPr="00A36AC8" w:rsidRDefault="008336E4" w:rsidP="009D390A">
            <w:pPr>
              <w:pStyle w:val="ListParagraph"/>
              <w:numPr>
                <w:ilvl w:val="0"/>
                <w:numId w:val="13"/>
              </w:numPr>
              <w:rPr>
                <w:rFonts w:ascii="Arial" w:hAnsi="Arial" w:cs="Arial"/>
                <w:sz w:val="20"/>
                <w:szCs w:val="20"/>
              </w:rPr>
            </w:pPr>
            <w:r w:rsidRPr="00A36AC8">
              <w:rPr>
                <w:rFonts w:ascii="Arial" w:hAnsi="Arial" w:cs="Arial"/>
                <w:sz w:val="20"/>
                <w:szCs w:val="20"/>
              </w:rPr>
              <w:t xml:space="preserve">build </w:t>
            </w:r>
            <w:r w:rsidR="0076215D" w:rsidRPr="00A36AC8">
              <w:rPr>
                <w:rFonts w:ascii="Arial" w:hAnsi="Arial" w:cs="Arial"/>
                <w:sz w:val="20"/>
                <w:szCs w:val="20"/>
              </w:rPr>
              <w:t xml:space="preserve">on and strengthen </w:t>
            </w:r>
            <w:r w:rsidR="00ED0F88" w:rsidRPr="00A36AC8">
              <w:rPr>
                <w:rFonts w:ascii="Arial" w:hAnsi="Arial" w:cs="Arial"/>
                <w:sz w:val="20"/>
                <w:szCs w:val="20"/>
              </w:rPr>
              <w:t xml:space="preserve">industry </w:t>
            </w:r>
            <w:r w:rsidR="0076215D" w:rsidRPr="00A36AC8">
              <w:rPr>
                <w:rFonts w:ascii="Arial" w:hAnsi="Arial" w:cs="Arial"/>
                <w:sz w:val="20"/>
                <w:szCs w:val="20"/>
              </w:rPr>
              <w:t xml:space="preserve">successes </w:t>
            </w:r>
            <w:r w:rsidR="00ED0F88" w:rsidRPr="00A36AC8">
              <w:rPr>
                <w:rFonts w:ascii="Arial" w:hAnsi="Arial" w:cs="Arial"/>
                <w:sz w:val="20"/>
                <w:szCs w:val="20"/>
              </w:rPr>
              <w:t>in</w:t>
            </w:r>
            <w:r w:rsidR="00CD5BC7" w:rsidRPr="00A36AC8">
              <w:rPr>
                <w:rFonts w:ascii="Arial" w:hAnsi="Arial" w:cs="Arial"/>
                <w:sz w:val="20"/>
                <w:szCs w:val="20"/>
              </w:rPr>
              <w:t xml:space="preserve"> the</w:t>
            </w:r>
            <w:r w:rsidR="00ED0F88" w:rsidRPr="00A36AC8">
              <w:rPr>
                <w:rFonts w:ascii="Arial" w:hAnsi="Arial" w:cs="Arial"/>
                <w:sz w:val="20"/>
                <w:szCs w:val="20"/>
              </w:rPr>
              <w:t xml:space="preserve"> </w:t>
            </w:r>
            <w:r w:rsidR="00CD5BC7" w:rsidRPr="00A36AC8">
              <w:rPr>
                <w:rFonts w:ascii="Arial" w:hAnsi="Arial" w:cs="Arial"/>
                <w:sz w:val="20"/>
                <w:szCs w:val="20"/>
              </w:rPr>
              <w:t xml:space="preserve">delivery </w:t>
            </w:r>
            <w:r w:rsidR="0076215D" w:rsidRPr="00A36AC8">
              <w:rPr>
                <w:rFonts w:ascii="Arial" w:hAnsi="Arial" w:cs="Arial"/>
                <w:sz w:val="20"/>
                <w:szCs w:val="20"/>
              </w:rPr>
              <w:t xml:space="preserve">of social and affordable housing, and explore opportunities to </w:t>
            </w:r>
            <w:r w:rsidRPr="00A36AC8">
              <w:rPr>
                <w:rFonts w:ascii="Arial" w:hAnsi="Arial" w:cs="Arial"/>
                <w:sz w:val="20"/>
                <w:szCs w:val="20"/>
              </w:rPr>
              <w:t>enhance further</w:t>
            </w:r>
            <w:r w:rsidR="008C3308" w:rsidRPr="00A36AC8">
              <w:rPr>
                <w:rFonts w:ascii="Arial" w:hAnsi="Arial" w:cs="Arial"/>
                <w:sz w:val="20"/>
                <w:szCs w:val="20"/>
              </w:rPr>
              <w:t xml:space="preserve"> including through partnerships and collaborations between </w:t>
            </w:r>
            <w:r w:rsidR="00DB6E46" w:rsidRPr="00A36AC8">
              <w:rPr>
                <w:rFonts w:ascii="Arial" w:hAnsi="Arial" w:cs="Arial"/>
                <w:sz w:val="20"/>
                <w:szCs w:val="20"/>
              </w:rPr>
              <w:t xml:space="preserve">the NSW government, </w:t>
            </w:r>
            <w:r w:rsidR="00D704F8" w:rsidRPr="00A36AC8">
              <w:rPr>
                <w:rFonts w:ascii="Arial" w:hAnsi="Arial" w:cs="Arial"/>
                <w:sz w:val="20"/>
                <w:szCs w:val="20"/>
              </w:rPr>
              <w:t xml:space="preserve">the Commonwealth government, local government, </w:t>
            </w:r>
            <w:r w:rsidR="00DB6E46" w:rsidRPr="00A36AC8">
              <w:rPr>
                <w:rFonts w:ascii="Arial" w:hAnsi="Arial" w:cs="Arial"/>
                <w:sz w:val="20"/>
                <w:szCs w:val="20"/>
              </w:rPr>
              <w:t>community housing providers, NGOs and the private sector</w:t>
            </w:r>
          </w:p>
          <w:p w14:paraId="5BD71269" w14:textId="04503C4F" w:rsidR="008336E4" w:rsidRPr="00A36AC8" w:rsidRDefault="00AC385B" w:rsidP="009D390A">
            <w:pPr>
              <w:pStyle w:val="ListParagraph"/>
              <w:numPr>
                <w:ilvl w:val="0"/>
                <w:numId w:val="13"/>
              </w:numPr>
              <w:rPr>
                <w:rFonts w:ascii="Arial" w:hAnsi="Arial" w:cs="Arial"/>
                <w:sz w:val="20"/>
                <w:szCs w:val="20"/>
              </w:rPr>
            </w:pPr>
            <w:r w:rsidRPr="00A36AC8">
              <w:rPr>
                <w:rFonts w:ascii="Arial" w:hAnsi="Arial" w:cs="Arial"/>
                <w:sz w:val="20"/>
                <w:szCs w:val="20"/>
              </w:rPr>
              <w:t>m</w:t>
            </w:r>
            <w:r w:rsidR="00ED0F88" w:rsidRPr="00A36AC8">
              <w:rPr>
                <w:rFonts w:ascii="Arial" w:hAnsi="Arial" w:cs="Arial"/>
                <w:sz w:val="20"/>
                <w:szCs w:val="20"/>
              </w:rPr>
              <w:t>aximise public value in delivering social and affordable housing in NSW</w:t>
            </w:r>
          </w:p>
          <w:p w14:paraId="1526598D" w14:textId="6788970A" w:rsidR="00573A00" w:rsidRPr="00A36AC8" w:rsidRDefault="00573A00" w:rsidP="009D390A">
            <w:pPr>
              <w:pStyle w:val="ListParagraph"/>
              <w:numPr>
                <w:ilvl w:val="0"/>
                <w:numId w:val="13"/>
              </w:numPr>
              <w:rPr>
                <w:rFonts w:ascii="Arial" w:hAnsi="Arial" w:cs="Arial"/>
                <w:sz w:val="20"/>
                <w:szCs w:val="20"/>
              </w:rPr>
            </w:pPr>
            <w:r w:rsidRPr="00A36AC8">
              <w:rPr>
                <w:rFonts w:ascii="Arial" w:hAnsi="Arial" w:cs="Arial"/>
                <w:sz w:val="20"/>
                <w:szCs w:val="20"/>
              </w:rPr>
              <w:t>recognise and respond to the diversity of the community housing sector</w:t>
            </w:r>
            <w:r w:rsidR="006C2B5D" w:rsidRPr="00A36AC8">
              <w:rPr>
                <w:rFonts w:ascii="Arial" w:hAnsi="Arial" w:cs="Arial"/>
                <w:sz w:val="20"/>
                <w:szCs w:val="20"/>
              </w:rPr>
              <w:t xml:space="preserve">, </w:t>
            </w:r>
            <w:r w:rsidR="00EF0B6D" w:rsidRPr="00A36AC8">
              <w:rPr>
                <w:rFonts w:ascii="Arial" w:hAnsi="Arial" w:cs="Arial"/>
                <w:sz w:val="20"/>
                <w:szCs w:val="20"/>
              </w:rPr>
              <w:t>across both metropolitan and regional settings</w:t>
            </w:r>
          </w:p>
          <w:p w14:paraId="059E6CFC" w14:textId="50AC8D7F" w:rsidR="00631804" w:rsidRPr="00A36AC8" w:rsidRDefault="00AC385B" w:rsidP="006C2B5D">
            <w:pPr>
              <w:pStyle w:val="ListParagraph"/>
              <w:numPr>
                <w:ilvl w:val="0"/>
                <w:numId w:val="13"/>
              </w:numPr>
              <w:rPr>
                <w:rFonts w:ascii="Arial" w:hAnsi="Arial" w:cs="Arial"/>
                <w:sz w:val="20"/>
                <w:szCs w:val="20"/>
              </w:rPr>
            </w:pPr>
            <w:r w:rsidRPr="00A36AC8">
              <w:rPr>
                <w:rFonts w:ascii="Arial" w:hAnsi="Arial" w:cs="Arial"/>
                <w:sz w:val="20"/>
                <w:szCs w:val="20"/>
              </w:rPr>
              <w:t>i</w:t>
            </w:r>
            <w:r w:rsidR="00ED0F88" w:rsidRPr="00A36AC8">
              <w:rPr>
                <w:rFonts w:ascii="Arial" w:hAnsi="Arial" w:cs="Arial"/>
                <w:sz w:val="20"/>
                <w:szCs w:val="20"/>
              </w:rPr>
              <w:t>mprove the experience and life outcomes of people living in community housing in NSW</w:t>
            </w:r>
            <w:r w:rsidRPr="00A36AC8">
              <w:rPr>
                <w:rFonts w:ascii="Arial" w:hAnsi="Arial" w:cs="Arial"/>
                <w:sz w:val="20"/>
                <w:szCs w:val="20"/>
              </w:rPr>
              <w:t>.</w:t>
            </w:r>
          </w:p>
        </w:tc>
      </w:tr>
      <w:tr w:rsidR="00AB27E0" w:rsidRPr="00A36AC8" w14:paraId="218ACF7F" w14:textId="77777777" w:rsidTr="00884D82">
        <w:tc>
          <w:tcPr>
            <w:tcW w:w="1784" w:type="dxa"/>
            <w:tcBorders>
              <w:top w:val="single" w:sz="4" w:space="0" w:color="auto"/>
              <w:bottom w:val="single" w:sz="8" w:space="0" w:color="01215C"/>
            </w:tcBorders>
            <w:shd w:val="clear" w:color="auto" w:fill="auto"/>
          </w:tcPr>
          <w:p w14:paraId="4C862FB9" w14:textId="373FF9E7" w:rsidR="00AB27E0" w:rsidRPr="00A36AC8" w:rsidRDefault="00AB27E0" w:rsidP="00631804">
            <w:pPr>
              <w:rPr>
                <w:rFonts w:ascii="Arial" w:hAnsi="Arial" w:cs="Arial"/>
                <w:b/>
                <w:i/>
                <w:szCs w:val="20"/>
              </w:rPr>
            </w:pPr>
            <w:r w:rsidRPr="00A36AC8">
              <w:rPr>
                <w:rFonts w:ascii="Arial" w:hAnsi="Arial" w:cs="Arial"/>
                <w:b/>
                <w:i/>
                <w:szCs w:val="20"/>
              </w:rPr>
              <w:t>Our work plan</w:t>
            </w:r>
          </w:p>
        </w:tc>
        <w:tc>
          <w:tcPr>
            <w:tcW w:w="12729" w:type="dxa"/>
            <w:tcBorders>
              <w:top w:val="single" w:sz="4" w:space="0" w:color="auto"/>
              <w:bottom w:val="single" w:sz="8" w:space="0" w:color="01215C"/>
            </w:tcBorders>
            <w:shd w:val="clear" w:color="auto" w:fill="auto"/>
          </w:tcPr>
          <w:p w14:paraId="17155AD6" w14:textId="738D0FCE" w:rsidR="00AB27E0" w:rsidRPr="00A36AC8" w:rsidRDefault="00AB27E0" w:rsidP="00631804">
            <w:pPr>
              <w:rPr>
                <w:rFonts w:ascii="Arial" w:hAnsi="Arial" w:cs="Arial"/>
                <w:szCs w:val="20"/>
              </w:rPr>
            </w:pPr>
            <w:r w:rsidRPr="00A36AC8">
              <w:rPr>
                <w:rFonts w:ascii="Arial" w:hAnsi="Arial" w:cs="Arial"/>
                <w:szCs w:val="20"/>
              </w:rPr>
              <w:t xml:space="preserve">The CHIC believes </w:t>
            </w:r>
            <w:r w:rsidR="0037606F" w:rsidRPr="00A36AC8">
              <w:rPr>
                <w:rFonts w:ascii="Arial" w:hAnsi="Arial" w:cs="Arial"/>
                <w:szCs w:val="20"/>
              </w:rPr>
              <w:t>its strategic agenda</w:t>
            </w:r>
            <w:r w:rsidR="00F12CC4" w:rsidRPr="00A36AC8">
              <w:rPr>
                <w:rFonts w:ascii="Arial" w:hAnsi="Arial" w:cs="Arial"/>
                <w:szCs w:val="20"/>
              </w:rPr>
              <w:t xml:space="preserve"> </w:t>
            </w:r>
            <w:r w:rsidRPr="00A36AC8">
              <w:rPr>
                <w:rFonts w:ascii="Arial" w:hAnsi="Arial" w:cs="Arial"/>
                <w:szCs w:val="20"/>
              </w:rPr>
              <w:t xml:space="preserve">requires </w:t>
            </w:r>
            <w:r w:rsidR="0024304B" w:rsidRPr="00A36AC8">
              <w:rPr>
                <w:rFonts w:ascii="Arial" w:hAnsi="Arial" w:cs="Arial"/>
                <w:szCs w:val="20"/>
              </w:rPr>
              <w:t>a focus on</w:t>
            </w:r>
            <w:r w:rsidRPr="00A36AC8">
              <w:rPr>
                <w:rFonts w:ascii="Arial" w:hAnsi="Arial" w:cs="Arial"/>
                <w:szCs w:val="20"/>
              </w:rPr>
              <w:t>:</w:t>
            </w:r>
          </w:p>
          <w:p w14:paraId="1416AF69" w14:textId="6D803C91" w:rsidR="00884D82" w:rsidRPr="00A36AC8" w:rsidRDefault="001D178A" w:rsidP="006C5545">
            <w:pPr>
              <w:pStyle w:val="ListParagraph"/>
              <w:numPr>
                <w:ilvl w:val="0"/>
                <w:numId w:val="5"/>
              </w:numPr>
              <w:rPr>
                <w:rFonts w:ascii="Arial" w:hAnsi="Arial" w:cs="Arial"/>
                <w:sz w:val="20"/>
                <w:szCs w:val="20"/>
              </w:rPr>
            </w:pPr>
            <w:r w:rsidRPr="00A36AC8">
              <w:rPr>
                <w:rFonts w:ascii="Arial" w:hAnsi="Arial" w:cs="Arial"/>
                <w:sz w:val="20"/>
                <w:szCs w:val="20"/>
              </w:rPr>
              <w:t>s</w:t>
            </w:r>
            <w:r w:rsidR="0037606F" w:rsidRPr="00A36AC8">
              <w:rPr>
                <w:rFonts w:ascii="Arial" w:hAnsi="Arial" w:cs="Arial"/>
                <w:sz w:val="20"/>
                <w:szCs w:val="20"/>
              </w:rPr>
              <w:t>ector</w:t>
            </w:r>
            <w:r w:rsidRPr="00A36AC8">
              <w:rPr>
                <w:rFonts w:ascii="Arial" w:hAnsi="Arial" w:cs="Arial"/>
                <w:sz w:val="20"/>
                <w:szCs w:val="20"/>
              </w:rPr>
              <w:t>, industry and government</w:t>
            </w:r>
            <w:r w:rsidR="0037606F" w:rsidRPr="00A36AC8">
              <w:rPr>
                <w:rFonts w:ascii="Arial" w:hAnsi="Arial" w:cs="Arial"/>
                <w:sz w:val="20"/>
                <w:szCs w:val="20"/>
              </w:rPr>
              <w:t xml:space="preserve"> views and perspectives on </w:t>
            </w:r>
            <w:r w:rsidR="00884D82" w:rsidRPr="00A36AC8">
              <w:rPr>
                <w:rFonts w:ascii="Arial" w:hAnsi="Arial" w:cs="Arial"/>
                <w:sz w:val="20"/>
                <w:szCs w:val="20"/>
              </w:rPr>
              <w:t>the future roles of the industry (an industry vision) in asset ownership, asset development, asset management, tenancy management and personal suppor</w:t>
            </w:r>
            <w:r w:rsidR="0037606F" w:rsidRPr="00A36AC8">
              <w:rPr>
                <w:rFonts w:ascii="Arial" w:hAnsi="Arial" w:cs="Arial"/>
                <w:sz w:val="20"/>
                <w:szCs w:val="20"/>
              </w:rPr>
              <w:t>t</w:t>
            </w:r>
            <w:r w:rsidR="00EF0B6D" w:rsidRPr="00A36AC8">
              <w:rPr>
                <w:rFonts w:ascii="Arial" w:hAnsi="Arial" w:cs="Arial"/>
                <w:sz w:val="20"/>
                <w:szCs w:val="20"/>
              </w:rPr>
              <w:t>.</w:t>
            </w:r>
          </w:p>
          <w:p w14:paraId="2A9FB422" w14:textId="4224D13A" w:rsidR="00AF5EFF" w:rsidRPr="00A36AC8" w:rsidRDefault="00AB27E0" w:rsidP="00996F4C">
            <w:pPr>
              <w:pStyle w:val="ListParagraph"/>
              <w:numPr>
                <w:ilvl w:val="0"/>
                <w:numId w:val="5"/>
              </w:numPr>
              <w:rPr>
                <w:rFonts w:ascii="Arial" w:hAnsi="Arial" w:cs="Arial"/>
                <w:sz w:val="20"/>
                <w:szCs w:val="20"/>
              </w:rPr>
            </w:pPr>
            <w:r w:rsidRPr="00A36AC8">
              <w:rPr>
                <w:rFonts w:ascii="Arial" w:hAnsi="Arial" w:cs="Arial"/>
                <w:sz w:val="20"/>
                <w:szCs w:val="20"/>
              </w:rPr>
              <w:t xml:space="preserve">the </w:t>
            </w:r>
            <w:r w:rsidR="00AF5EFF" w:rsidRPr="00A36AC8">
              <w:rPr>
                <w:rFonts w:ascii="Arial" w:hAnsi="Arial" w:cs="Arial"/>
                <w:sz w:val="20"/>
                <w:szCs w:val="20"/>
              </w:rPr>
              <w:t xml:space="preserve">future </w:t>
            </w:r>
            <w:r w:rsidRPr="00A36AC8">
              <w:rPr>
                <w:rFonts w:ascii="Arial" w:hAnsi="Arial" w:cs="Arial"/>
                <w:sz w:val="20"/>
                <w:szCs w:val="20"/>
              </w:rPr>
              <w:t>role</w:t>
            </w:r>
            <w:r w:rsidR="0037606F" w:rsidRPr="00A36AC8">
              <w:rPr>
                <w:rFonts w:ascii="Arial" w:hAnsi="Arial" w:cs="Arial"/>
                <w:sz w:val="20"/>
                <w:szCs w:val="20"/>
              </w:rPr>
              <w:t xml:space="preserve"> of, and opportunities for, </w:t>
            </w:r>
            <w:r w:rsidR="00AF5EFF" w:rsidRPr="00A36AC8">
              <w:rPr>
                <w:rFonts w:ascii="Arial" w:hAnsi="Arial" w:cs="Arial"/>
                <w:sz w:val="20"/>
                <w:szCs w:val="20"/>
              </w:rPr>
              <w:t>government in</w:t>
            </w:r>
            <w:r w:rsidRPr="00A36AC8">
              <w:rPr>
                <w:rFonts w:ascii="Arial" w:hAnsi="Arial" w:cs="Arial"/>
                <w:sz w:val="20"/>
                <w:szCs w:val="20"/>
              </w:rPr>
              <w:t xml:space="preserve"> </w:t>
            </w:r>
            <w:r w:rsidR="00884D82" w:rsidRPr="00A36AC8">
              <w:rPr>
                <w:rFonts w:ascii="Arial" w:hAnsi="Arial" w:cs="Arial"/>
                <w:sz w:val="20"/>
                <w:szCs w:val="20"/>
              </w:rPr>
              <w:t xml:space="preserve">supporting the industry vision through </w:t>
            </w:r>
            <w:r w:rsidR="00AF5EFF" w:rsidRPr="00A36AC8">
              <w:rPr>
                <w:rFonts w:ascii="Arial" w:hAnsi="Arial" w:cs="Arial"/>
                <w:sz w:val="20"/>
                <w:szCs w:val="20"/>
              </w:rPr>
              <w:t>policy development</w:t>
            </w:r>
            <w:r w:rsidR="00884D82" w:rsidRPr="00A36AC8">
              <w:rPr>
                <w:rFonts w:ascii="Arial" w:hAnsi="Arial" w:cs="Arial"/>
                <w:sz w:val="20"/>
                <w:szCs w:val="20"/>
              </w:rPr>
              <w:t xml:space="preserve"> and reform</w:t>
            </w:r>
            <w:r w:rsidR="00AF5EFF" w:rsidRPr="00A36AC8">
              <w:rPr>
                <w:rFonts w:ascii="Arial" w:hAnsi="Arial" w:cs="Arial"/>
                <w:sz w:val="20"/>
                <w:szCs w:val="20"/>
              </w:rPr>
              <w:t xml:space="preserve">, </w:t>
            </w:r>
            <w:r w:rsidR="00884D82" w:rsidRPr="00A36AC8">
              <w:rPr>
                <w:rFonts w:ascii="Arial" w:hAnsi="Arial" w:cs="Arial"/>
                <w:sz w:val="20"/>
                <w:szCs w:val="20"/>
              </w:rPr>
              <w:t xml:space="preserve">innovative and sustainable </w:t>
            </w:r>
            <w:r w:rsidR="00AF5EFF" w:rsidRPr="00A36AC8">
              <w:rPr>
                <w:rFonts w:ascii="Arial" w:hAnsi="Arial" w:cs="Arial"/>
                <w:sz w:val="20"/>
                <w:szCs w:val="20"/>
              </w:rPr>
              <w:t xml:space="preserve">funding, </w:t>
            </w:r>
            <w:r w:rsidR="005D402A" w:rsidRPr="00A36AC8">
              <w:rPr>
                <w:rFonts w:ascii="Arial" w:hAnsi="Arial" w:cs="Arial"/>
                <w:sz w:val="20"/>
                <w:szCs w:val="20"/>
              </w:rPr>
              <w:t xml:space="preserve">and </w:t>
            </w:r>
            <w:r w:rsidR="00AF5EFF" w:rsidRPr="00A36AC8">
              <w:rPr>
                <w:rFonts w:ascii="Arial" w:hAnsi="Arial" w:cs="Arial"/>
                <w:sz w:val="20"/>
                <w:szCs w:val="20"/>
              </w:rPr>
              <w:t>regulation</w:t>
            </w:r>
            <w:r w:rsidR="00884D82" w:rsidRPr="00A36AC8">
              <w:rPr>
                <w:rFonts w:ascii="Arial" w:hAnsi="Arial" w:cs="Arial"/>
                <w:sz w:val="20"/>
                <w:szCs w:val="20"/>
              </w:rPr>
              <w:t xml:space="preserve"> </w:t>
            </w:r>
            <w:r w:rsidR="005D402A" w:rsidRPr="00A36AC8">
              <w:rPr>
                <w:rFonts w:ascii="Arial" w:hAnsi="Arial" w:cs="Arial"/>
                <w:sz w:val="20"/>
                <w:szCs w:val="20"/>
              </w:rPr>
              <w:t xml:space="preserve">and </w:t>
            </w:r>
            <w:r w:rsidR="00884D82" w:rsidRPr="00A36AC8">
              <w:rPr>
                <w:rFonts w:ascii="Arial" w:hAnsi="Arial" w:cs="Arial"/>
                <w:sz w:val="20"/>
                <w:szCs w:val="20"/>
              </w:rPr>
              <w:t>standards</w:t>
            </w:r>
            <w:r w:rsidR="005D402A" w:rsidRPr="00A36AC8">
              <w:rPr>
                <w:rFonts w:ascii="Arial" w:hAnsi="Arial" w:cs="Arial"/>
                <w:sz w:val="20"/>
                <w:szCs w:val="20"/>
              </w:rPr>
              <w:t>.</w:t>
            </w:r>
          </w:p>
          <w:p w14:paraId="4878D4A6" w14:textId="6C615C75" w:rsidR="00AF5EFF" w:rsidRPr="00A36AC8" w:rsidRDefault="00AF5EFF" w:rsidP="00996F4C">
            <w:pPr>
              <w:pStyle w:val="ListParagraph"/>
              <w:numPr>
                <w:ilvl w:val="0"/>
                <w:numId w:val="5"/>
              </w:numPr>
              <w:rPr>
                <w:rFonts w:ascii="Arial" w:hAnsi="Arial" w:cs="Arial"/>
                <w:sz w:val="20"/>
                <w:szCs w:val="20"/>
              </w:rPr>
            </w:pPr>
            <w:r w:rsidRPr="00A36AC8">
              <w:rPr>
                <w:rFonts w:ascii="Arial" w:hAnsi="Arial" w:cs="Arial"/>
                <w:sz w:val="20"/>
                <w:szCs w:val="20"/>
              </w:rPr>
              <w:t xml:space="preserve">the </w:t>
            </w:r>
            <w:r w:rsidR="00884D82" w:rsidRPr="00A36AC8">
              <w:rPr>
                <w:rFonts w:ascii="Arial" w:hAnsi="Arial" w:cs="Arial"/>
                <w:sz w:val="20"/>
                <w:szCs w:val="20"/>
              </w:rPr>
              <w:t>options for</w:t>
            </w:r>
            <w:r w:rsidRPr="00A36AC8">
              <w:rPr>
                <w:rFonts w:ascii="Arial" w:hAnsi="Arial" w:cs="Arial"/>
                <w:sz w:val="20"/>
                <w:szCs w:val="20"/>
              </w:rPr>
              <w:t xml:space="preserve"> industry growth and diversification considering the key financial drivers such as rents, direct and indirect government subsidies, </w:t>
            </w:r>
            <w:r w:rsidR="00890F91" w:rsidRPr="00A36AC8">
              <w:rPr>
                <w:rFonts w:ascii="Arial" w:hAnsi="Arial" w:cs="Arial"/>
                <w:sz w:val="20"/>
                <w:szCs w:val="20"/>
              </w:rPr>
              <w:t xml:space="preserve">social impact investment, </w:t>
            </w:r>
            <w:r w:rsidR="00AC385B" w:rsidRPr="00A36AC8">
              <w:rPr>
                <w:rFonts w:ascii="Arial" w:hAnsi="Arial" w:cs="Arial"/>
                <w:sz w:val="20"/>
                <w:szCs w:val="20"/>
              </w:rPr>
              <w:t>National Housing Finance and Investment Corporation (</w:t>
            </w:r>
            <w:r w:rsidR="00890F91" w:rsidRPr="00A36AC8">
              <w:rPr>
                <w:rFonts w:ascii="Arial" w:hAnsi="Arial" w:cs="Arial"/>
                <w:sz w:val="20"/>
                <w:szCs w:val="20"/>
              </w:rPr>
              <w:t>NHFIC</w:t>
            </w:r>
            <w:r w:rsidR="00AC385B" w:rsidRPr="00A36AC8">
              <w:rPr>
                <w:rFonts w:ascii="Arial" w:hAnsi="Arial" w:cs="Arial"/>
                <w:sz w:val="20"/>
                <w:szCs w:val="20"/>
              </w:rPr>
              <w:t>)</w:t>
            </w:r>
            <w:r w:rsidR="00890F91" w:rsidRPr="00A36AC8">
              <w:rPr>
                <w:rFonts w:ascii="Arial" w:hAnsi="Arial" w:cs="Arial"/>
                <w:sz w:val="20"/>
                <w:szCs w:val="20"/>
              </w:rPr>
              <w:t xml:space="preserve">, </w:t>
            </w:r>
            <w:r w:rsidR="00AC385B" w:rsidRPr="00A36AC8">
              <w:rPr>
                <w:rFonts w:ascii="Arial" w:hAnsi="Arial" w:cs="Arial"/>
                <w:sz w:val="20"/>
                <w:szCs w:val="20"/>
              </w:rPr>
              <w:t>National Disability Insurance Scheme (</w:t>
            </w:r>
            <w:r w:rsidR="00E46C9A" w:rsidRPr="00A36AC8">
              <w:rPr>
                <w:rFonts w:ascii="Arial" w:hAnsi="Arial" w:cs="Arial"/>
                <w:sz w:val="20"/>
                <w:szCs w:val="20"/>
              </w:rPr>
              <w:t>NDIS</w:t>
            </w:r>
            <w:r w:rsidR="00AC385B" w:rsidRPr="00A36AC8">
              <w:rPr>
                <w:rFonts w:ascii="Arial" w:hAnsi="Arial" w:cs="Arial"/>
                <w:sz w:val="20"/>
                <w:szCs w:val="20"/>
              </w:rPr>
              <w:t>)</w:t>
            </w:r>
            <w:r w:rsidR="00E46C9A" w:rsidRPr="00A36AC8">
              <w:rPr>
                <w:rFonts w:ascii="Arial" w:hAnsi="Arial" w:cs="Arial"/>
                <w:sz w:val="20"/>
                <w:szCs w:val="20"/>
              </w:rPr>
              <w:t xml:space="preserve">, </w:t>
            </w:r>
            <w:r w:rsidRPr="00A36AC8">
              <w:rPr>
                <w:rFonts w:ascii="Arial" w:hAnsi="Arial" w:cs="Arial"/>
                <w:sz w:val="20"/>
                <w:szCs w:val="20"/>
              </w:rPr>
              <w:t>land values, interest rates and building costs</w:t>
            </w:r>
            <w:r w:rsidR="00884D82" w:rsidRPr="00A36AC8">
              <w:rPr>
                <w:rFonts w:ascii="Arial" w:hAnsi="Arial" w:cs="Arial"/>
                <w:sz w:val="20"/>
                <w:szCs w:val="20"/>
              </w:rPr>
              <w:t xml:space="preserve"> and the risks and benefits of the options</w:t>
            </w:r>
            <w:r w:rsidRPr="00A36AC8">
              <w:rPr>
                <w:rFonts w:ascii="Arial" w:hAnsi="Arial" w:cs="Arial"/>
                <w:sz w:val="20"/>
                <w:szCs w:val="20"/>
              </w:rPr>
              <w:t>.</w:t>
            </w:r>
          </w:p>
          <w:p w14:paraId="7164548F" w14:textId="6C3D5092" w:rsidR="00E53856" w:rsidRPr="00A36AC8" w:rsidRDefault="00AF5EFF" w:rsidP="00996F4C">
            <w:pPr>
              <w:pStyle w:val="ListParagraph"/>
              <w:numPr>
                <w:ilvl w:val="0"/>
                <w:numId w:val="5"/>
              </w:numPr>
              <w:rPr>
                <w:rFonts w:ascii="Arial" w:hAnsi="Arial" w:cs="Arial"/>
                <w:sz w:val="20"/>
                <w:szCs w:val="20"/>
              </w:rPr>
            </w:pPr>
            <w:r w:rsidRPr="00A36AC8">
              <w:rPr>
                <w:rFonts w:ascii="Arial" w:hAnsi="Arial" w:cs="Arial"/>
                <w:sz w:val="20"/>
                <w:szCs w:val="20"/>
              </w:rPr>
              <w:t xml:space="preserve">optimisation of industry performance through </w:t>
            </w:r>
            <w:r w:rsidR="00F46FBD" w:rsidRPr="00A36AC8">
              <w:rPr>
                <w:rFonts w:ascii="Arial" w:hAnsi="Arial" w:cs="Arial"/>
                <w:sz w:val="20"/>
                <w:szCs w:val="20"/>
              </w:rPr>
              <w:t xml:space="preserve">improvements and reform of </w:t>
            </w:r>
            <w:r w:rsidRPr="00A36AC8">
              <w:rPr>
                <w:rFonts w:ascii="Arial" w:hAnsi="Arial" w:cs="Arial"/>
                <w:sz w:val="20"/>
                <w:szCs w:val="20"/>
              </w:rPr>
              <w:t xml:space="preserve">organisational </w:t>
            </w:r>
            <w:r w:rsidR="007E4F31" w:rsidRPr="00A36AC8">
              <w:rPr>
                <w:rFonts w:ascii="Arial" w:hAnsi="Arial" w:cs="Arial"/>
                <w:sz w:val="20"/>
                <w:szCs w:val="20"/>
              </w:rPr>
              <w:t xml:space="preserve">governance and </w:t>
            </w:r>
            <w:r w:rsidRPr="00A36AC8">
              <w:rPr>
                <w:rFonts w:ascii="Arial" w:hAnsi="Arial" w:cs="Arial"/>
                <w:sz w:val="20"/>
                <w:szCs w:val="20"/>
              </w:rPr>
              <w:t>compliance, government regulation and government contracting</w:t>
            </w:r>
            <w:r w:rsidR="00EF0B6D" w:rsidRPr="00A36AC8">
              <w:rPr>
                <w:rFonts w:ascii="Arial" w:hAnsi="Arial" w:cs="Arial"/>
                <w:sz w:val="20"/>
                <w:szCs w:val="20"/>
              </w:rPr>
              <w:t>.</w:t>
            </w:r>
          </w:p>
          <w:p w14:paraId="51676D7D" w14:textId="323F3137" w:rsidR="00AF5EFF" w:rsidRPr="00A36AC8" w:rsidRDefault="00E53856" w:rsidP="00996F4C">
            <w:pPr>
              <w:pStyle w:val="ListParagraph"/>
              <w:numPr>
                <w:ilvl w:val="0"/>
                <w:numId w:val="5"/>
              </w:numPr>
              <w:rPr>
                <w:rFonts w:ascii="Arial" w:hAnsi="Arial" w:cs="Arial"/>
                <w:sz w:val="20"/>
                <w:szCs w:val="20"/>
              </w:rPr>
            </w:pPr>
            <w:r w:rsidRPr="00A36AC8">
              <w:rPr>
                <w:rFonts w:ascii="Arial" w:hAnsi="Arial" w:cs="Arial"/>
                <w:sz w:val="20"/>
                <w:szCs w:val="20"/>
              </w:rPr>
              <w:t>the diversity within the sector.</w:t>
            </w:r>
          </w:p>
          <w:p w14:paraId="674AA389" w14:textId="77777777" w:rsidR="005D035F" w:rsidRDefault="005D035F" w:rsidP="001C4CE2">
            <w:pPr>
              <w:rPr>
                <w:rFonts w:ascii="Arial" w:hAnsi="Arial" w:cs="Arial"/>
                <w:szCs w:val="20"/>
              </w:rPr>
            </w:pPr>
            <w:r w:rsidRPr="00A36AC8">
              <w:rPr>
                <w:rFonts w:ascii="Arial" w:hAnsi="Arial" w:cs="Arial"/>
                <w:szCs w:val="20"/>
              </w:rPr>
              <w:t>To this end, the work of th</w:t>
            </w:r>
            <w:r w:rsidR="00CA519D" w:rsidRPr="00A36AC8">
              <w:rPr>
                <w:rFonts w:ascii="Arial" w:hAnsi="Arial" w:cs="Arial"/>
                <w:szCs w:val="20"/>
              </w:rPr>
              <w:t xml:space="preserve">e CHIC in </w:t>
            </w:r>
            <w:r w:rsidR="001C4CE2" w:rsidRPr="00A36AC8">
              <w:rPr>
                <w:rFonts w:ascii="Arial" w:hAnsi="Arial" w:cs="Arial"/>
                <w:szCs w:val="20"/>
              </w:rPr>
              <w:t>2022</w:t>
            </w:r>
            <w:r w:rsidR="00232C32" w:rsidRPr="00A36AC8">
              <w:rPr>
                <w:rFonts w:ascii="Arial" w:hAnsi="Arial" w:cs="Arial"/>
                <w:szCs w:val="20"/>
              </w:rPr>
              <w:t>-</w:t>
            </w:r>
            <w:r w:rsidR="001C4CE2" w:rsidRPr="00A36AC8">
              <w:rPr>
                <w:rFonts w:ascii="Arial" w:hAnsi="Arial" w:cs="Arial"/>
                <w:szCs w:val="20"/>
              </w:rPr>
              <w:t xml:space="preserve">24 </w:t>
            </w:r>
            <w:r w:rsidR="00CA519D" w:rsidRPr="00A36AC8">
              <w:rPr>
                <w:rFonts w:ascii="Arial" w:hAnsi="Arial" w:cs="Arial"/>
                <w:szCs w:val="20"/>
              </w:rPr>
              <w:t xml:space="preserve">will focus on </w:t>
            </w:r>
            <w:r w:rsidR="00D13488" w:rsidRPr="00A36AC8">
              <w:rPr>
                <w:rFonts w:ascii="Arial" w:hAnsi="Arial" w:cs="Arial"/>
                <w:szCs w:val="20"/>
              </w:rPr>
              <w:t>the below priorities, so that strategic policy advice can be</w:t>
            </w:r>
            <w:r w:rsidR="00CD5BC7" w:rsidRPr="00A36AC8">
              <w:rPr>
                <w:rFonts w:ascii="Arial" w:hAnsi="Arial" w:cs="Arial"/>
                <w:szCs w:val="20"/>
              </w:rPr>
              <w:t xml:space="preserve"> further </w:t>
            </w:r>
            <w:r w:rsidR="00D13488" w:rsidRPr="00A36AC8">
              <w:rPr>
                <w:rFonts w:ascii="Arial" w:hAnsi="Arial" w:cs="Arial"/>
                <w:szCs w:val="20"/>
              </w:rPr>
              <w:t>developed.</w:t>
            </w:r>
          </w:p>
          <w:p w14:paraId="357340D4" w14:textId="10008CA3" w:rsidR="008F1D97" w:rsidRPr="00A36AC8" w:rsidRDefault="005A17A3" w:rsidP="008F1D97">
            <w:pPr>
              <w:rPr>
                <w:rFonts w:ascii="Arial" w:hAnsi="Arial" w:cs="Arial"/>
                <w:szCs w:val="20"/>
              </w:rPr>
            </w:pPr>
            <w:r>
              <w:rPr>
                <w:rFonts w:ascii="Arial" w:hAnsi="Arial" w:cs="Arial"/>
                <w:szCs w:val="20"/>
              </w:rPr>
              <w:t xml:space="preserve">Additionally, the CHIC acknowledges the change in the Commonwealth government in 2022, </w:t>
            </w:r>
            <w:r w:rsidR="008F1D97">
              <w:rPr>
                <w:rFonts w:ascii="Arial" w:hAnsi="Arial" w:cs="Arial"/>
                <w:szCs w:val="20"/>
              </w:rPr>
              <w:t>its commitment to social and affordable housing,</w:t>
            </w:r>
            <w:r>
              <w:rPr>
                <w:rFonts w:ascii="Arial" w:hAnsi="Arial" w:cs="Arial"/>
                <w:szCs w:val="20"/>
              </w:rPr>
              <w:t xml:space="preserve"> and the opportunities this will create within the sector. The CHIC will work with the sector to </w:t>
            </w:r>
            <w:r w:rsidR="000B1AE6">
              <w:rPr>
                <w:rFonts w:ascii="Arial" w:hAnsi="Arial" w:cs="Arial"/>
                <w:szCs w:val="20"/>
              </w:rPr>
              <w:t>identify</w:t>
            </w:r>
            <w:r>
              <w:rPr>
                <w:rFonts w:ascii="Arial" w:hAnsi="Arial" w:cs="Arial"/>
                <w:szCs w:val="20"/>
              </w:rPr>
              <w:t xml:space="preserve"> </w:t>
            </w:r>
            <w:r w:rsidR="000B1AE6">
              <w:rPr>
                <w:rFonts w:ascii="Arial" w:hAnsi="Arial" w:cs="Arial"/>
                <w:szCs w:val="20"/>
              </w:rPr>
              <w:t>such</w:t>
            </w:r>
            <w:r>
              <w:rPr>
                <w:rFonts w:ascii="Arial" w:hAnsi="Arial" w:cs="Arial"/>
                <w:szCs w:val="20"/>
              </w:rPr>
              <w:t xml:space="preserve"> opportunities</w:t>
            </w:r>
            <w:r w:rsidR="000B1AE6">
              <w:rPr>
                <w:rFonts w:ascii="Arial" w:hAnsi="Arial" w:cs="Arial"/>
                <w:szCs w:val="20"/>
              </w:rPr>
              <w:t xml:space="preserve"> and to incorporate them into this work plan.</w:t>
            </w:r>
          </w:p>
        </w:tc>
      </w:tr>
    </w:tbl>
    <w:p w14:paraId="419A01DB" w14:textId="77777777" w:rsidR="00CD3A73" w:rsidRPr="00A36AC8" w:rsidRDefault="00CD3A73" w:rsidP="0020515F">
      <w:pPr>
        <w:kinsoku w:val="0"/>
        <w:overflowPunct w:val="0"/>
        <w:autoSpaceDE/>
        <w:autoSpaceDN/>
        <w:adjustRightInd/>
        <w:spacing w:before="101" w:line="509" w:lineRule="exact"/>
        <w:textAlignment w:val="baseline"/>
        <w:rPr>
          <w:rFonts w:ascii="Arial" w:hAnsi="Arial" w:cs="Arial"/>
          <w:color w:val="002060"/>
          <w:w w:val="95"/>
          <w:szCs w:val="20"/>
        </w:rPr>
        <w:sectPr w:rsidR="00CD3A73" w:rsidRPr="00A36AC8" w:rsidSect="002639C0">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567" w:right="1134" w:bottom="737" w:left="1134" w:header="567" w:footer="567" w:gutter="0"/>
          <w:pgNumType w:start="1"/>
          <w:cols w:space="708"/>
          <w:docGrid w:linePitch="360"/>
        </w:sectPr>
      </w:pPr>
    </w:p>
    <w:p w14:paraId="70676A3C" w14:textId="6691F737" w:rsidR="006B75CD" w:rsidRPr="00A36AC8" w:rsidRDefault="006B75CD" w:rsidP="0020515F">
      <w:pPr>
        <w:kinsoku w:val="0"/>
        <w:overflowPunct w:val="0"/>
        <w:autoSpaceDE/>
        <w:autoSpaceDN/>
        <w:adjustRightInd/>
        <w:spacing w:before="101" w:line="509" w:lineRule="exact"/>
        <w:textAlignment w:val="baseline"/>
        <w:rPr>
          <w:rFonts w:ascii="Arial" w:hAnsi="Arial" w:cs="Arial"/>
          <w:color w:val="002060"/>
          <w:w w:val="95"/>
          <w:szCs w:val="20"/>
        </w:rPr>
      </w:pPr>
      <w:r w:rsidRPr="00A36AC8">
        <w:rPr>
          <w:rFonts w:ascii="Arial" w:hAnsi="Arial" w:cs="Arial"/>
          <w:color w:val="002060"/>
          <w:w w:val="95"/>
          <w:szCs w:val="20"/>
        </w:rPr>
        <w:lastRenderedPageBreak/>
        <w:t>NSW Community Hou</w:t>
      </w:r>
      <w:r w:rsidR="003F4FC8" w:rsidRPr="00A36AC8">
        <w:rPr>
          <w:rFonts w:ascii="Arial" w:hAnsi="Arial" w:cs="Arial"/>
          <w:color w:val="002060"/>
          <w:w w:val="95"/>
          <w:szCs w:val="20"/>
        </w:rPr>
        <w:t>sing Industry Council –</w:t>
      </w:r>
      <w:r w:rsidR="0020515F" w:rsidRPr="00A36AC8">
        <w:rPr>
          <w:rFonts w:ascii="Arial" w:hAnsi="Arial" w:cs="Arial"/>
          <w:color w:val="002060"/>
          <w:w w:val="95"/>
          <w:szCs w:val="20"/>
        </w:rPr>
        <w:t xml:space="preserve"> </w:t>
      </w:r>
      <w:r w:rsidR="00CD1A06" w:rsidRPr="00A36AC8">
        <w:rPr>
          <w:rFonts w:ascii="Arial" w:hAnsi="Arial" w:cs="Arial"/>
          <w:color w:val="002060"/>
          <w:w w:val="95"/>
          <w:szCs w:val="20"/>
        </w:rPr>
        <w:t xml:space="preserve">Work </w:t>
      </w:r>
      <w:r w:rsidR="003F4FC8" w:rsidRPr="00A36AC8">
        <w:rPr>
          <w:rFonts w:ascii="Arial" w:hAnsi="Arial" w:cs="Arial"/>
          <w:color w:val="002060"/>
          <w:w w:val="95"/>
          <w:szCs w:val="20"/>
        </w:rPr>
        <w:t>Plan</w:t>
      </w:r>
      <w:r w:rsidRPr="00A36AC8">
        <w:rPr>
          <w:rFonts w:ascii="Arial" w:hAnsi="Arial" w:cs="Arial"/>
          <w:color w:val="002060"/>
          <w:w w:val="95"/>
          <w:szCs w:val="20"/>
        </w:rPr>
        <w:t xml:space="preserve"> implementation</w:t>
      </w:r>
    </w:p>
    <w:p w14:paraId="4A63744F" w14:textId="77777777" w:rsidR="006B75CD" w:rsidRPr="00A36AC8" w:rsidRDefault="006B75CD" w:rsidP="006B75CD">
      <w:pPr>
        <w:rPr>
          <w:rFonts w:ascii="Arial" w:hAnsi="Arial" w:cs="Arial"/>
          <w:szCs w:val="20"/>
        </w:rPr>
      </w:pPr>
    </w:p>
    <w:tbl>
      <w:tblPr>
        <w:tblW w:w="46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57" w:type="dxa"/>
          <w:bottom w:w="57" w:type="dxa"/>
          <w:right w:w="57" w:type="dxa"/>
        </w:tblCellMar>
        <w:tblLook w:val="04A0" w:firstRow="1" w:lastRow="0" w:firstColumn="1" w:lastColumn="0" w:noHBand="0" w:noVBand="1"/>
      </w:tblPr>
      <w:tblGrid>
        <w:gridCol w:w="1543"/>
        <w:gridCol w:w="9368"/>
        <w:gridCol w:w="3400"/>
      </w:tblGrid>
      <w:tr w:rsidR="00A777D2" w:rsidRPr="00A36AC8" w14:paraId="11065F25" w14:textId="77777777" w:rsidTr="00A777D2">
        <w:trPr>
          <w:tblHeader/>
        </w:trPr>
        <w:tc>
          <w:tcPr>
            <w:tcW w:w="539" w:type="pct"/>
            <w:shd w:val="clear" w:color="auto" w:fill="01215C"/>
          </w:tcPr>
          <w:p w14:paraId="6471E5EB" w14:textId="45361EF3" w:rsidR="00A777D2" w:rsidRPr="00A36AC8" w:rsidRDefault="00A777D2" w:rsidP="00884D82">
            <w:pPr>
              <w:rPr>
                <w:rFonts w:ascii="Arial" w:hAnsi="Arial" w:cs="Arial"/>
                <w:b/>
                <w:szCs w:val="20"/>
              </w:rPr>
            </w:pPr>
            <w:r w:rsidRPr="00A36AC8">
              <w:rPr>
                <w:rFonts w:ascii="Arial" w:hAnsi="Arial" w:cs="Arial"/>
                <w:b/>
                <w:szCs w:val="20"/>
              </w:rPr>
              <w:t xml:space="preserve">What? </w:t>
            </w:r>
          </w:p>
        </w:tc>
        <w:tc>
          <w:tcPr>
            <w:tcW w:w="3273" w:type="pct"/>
            <w:shd w:val="clear" w:color="auto" w:fill="01215C"/>
          </w:tcPr>
          <w:p w14:paraId="71E445DB" w14:textId="636E713C" w:rsidR="00A777D2" w:rsidRPr="00A36AC8" w:rsidRDefault="00A777D2" w:rsidP="00884D82">
            <w:pPr>
              <w:rPr>
                <w:rFonts w:ascii="Arial" w:hAnsi="Arial" w:cs="Arial"/>
                <w:b/>
                <w:szCs w:val="20"/>
              </w:rPr>
            </w:pPr>
            <w:r w:rsidRPr="00A36AC8">
              <w:rPr>
                <w:rFonts w:ascii="Arial" w:hAnsi="Arial" w:cs="Arial"/>
                <w:b/>
                <w:szCs w:val="20"/>
              </w:rPr>
              <w:t>Outputs and Scope of Work</w:t>
            </w:r>
          </w:p>
        </w:tc>
        <w:tc>
          <w:tcPr>
            <w:tcW w:w="1188" w:type="pct"/>
            <w:shd w:val="clear" w:color="auto" w:fill="01215C"/>
          </w:tcPr>
          <w:p w14:paraId="2A1A78FF" w14:textId="067495C9" w:rsidR="00A777D2" w:rsidRPr="00A36AC8" w:rsidRDefault="00A777D2" w:rsidP="009A3282">
            <w:pPr>
              <w:jc w:val="center"/>
              <w:rPr>
                <w:rFonts w:ascii="Arial" w:hAnsi="Arial" w:cs="Arial"/>
                <w:b/>
                <w:szCs w:val="20"/>
              </w:rPr>
            </w:pPr>
            <w:r>
              <w:rPr>
                <w:rFonts w:ascii="Arial" w:hAnsi="Arial" w:cs="Arial"/>
                <w:b/>
                <w:szCs w:val="20"/>
              </w:rPr>
              <w:t>Priority – Low, Medium or High</w:t>
            </w:r>
          </w:p>
        </w:tc>
      </w:tr>
      <w:tr w:rsidR="00A777D2" w:rsidRPr="00A36AC8" w14:paraId="004D9191" w14:textId="77777777" w:rsidTr="00A777D2">
        <w:trPr>
          <w:trHeight w:val="530"/>
        </w:trPr>
        <w:tc>
          <w:tcPr>
            <w:tcW w:w="539" w:type="pct"/>
            <w:vMerge w:val="restart"/>
            <w:shd w:val="clear" w:color="auto" w:fill="auto"/>
          </w:tcPr>
          <w:p w14:paraId="18FA281D" w14:textId="731563B9" w:rsidR="00A777D2" w:rsidRPr="00A36AC8" w:rsidRDefault="00A777D2" w:rsidP="001D09B7">
            <w:pPr>
              <w:pStyle w:val="ListParagraph"/>
              <w:numPr>
                <w:ilvl w:val="0"/>
                <w:numId w:val="8"/>
              </w:numPr>
              <w:rPr>
                <w:rFonts w:ascii="Arial" w:hAnsi="Arial" w:cs="Arial"/>
                <w:sz w:val="20"/>
                <w:szCs w:val="20"/>
              </w:rPr>
            </w:pPr>
            <w:r w:rsidRPr="00A36AC8">
              <w:rPr>
                <w:rFonts w:ascii="Arial" w:hAnsi="Arial" w:cs="Arial"/>
                <w:b/>
                <w:sz w:val="20"/>
                <w:szCs w:val="20"/>
              </w:rPr>
              <w:t xml:space="preserve">Develop and support a future vision for the community housing industry </w:t>
            </w:r>
          </w:p>
        </w:tc>
        <w:tc>
          <w:tcPr>
            <w:tcW w:w="3273" w:type="pct"/>
          </w:tcPr>
          <w:p w14:paraId="130F2EB6" w14:textId="1F8BDADA" w:rsidR="00A777D2" w:rsidRPr="00A36AC8" w:rsidRDefault="00A777D2" w:rsidP="001D09B7">
            <w:pPr>
              <w:pStyle w:val="ListParagraph"/>
              <w:numPr>
                <w:ilvl w:val="0"/>
                <w:numId w:val="2"/>
              </w:numPr>
              <w:spacing w:line="240" w:lineRule="auto"/>
              <w:ind w:left="357" w:hanging="357"/>
              <w:contextualSpacing w:val="0"/>
              <w:rPr>
                <w:rFonts w:ascii="Arial" w:hAnsi="Arial" w:cs="Arial"/>
                <w:sz w:val="20"/>
                <w:szCs w:val="20"/>
              </w:rPr>
            </w:pPr>
            <w:r w:rsidRPr="00A36AC8">
              <w:rPr>
                <w:rFonts w:ascii="Arial" w:hAnsi="Arial" w:cs="Arial"/>
                <w:sz w:val="20"/>
                <w:szCs w:val="20"/>
              </w:rPr>
              <w:t xml:space="preserve">A Community Housing Industry Strategy to submit for endorsement to the Secretary, DCJ </w:t>
            </w:r>
          </w:p>
        </w:tc>
        <w:tc>
          <w:tcPr>
            <w:tcW w:w="1188" w:type="pct"/>
            <w:shd w:val="clear" w:color="auto" w:fill="F7CAAC" w:themeFill="accent2" w:themeFillTint="66"/>
          </w:tcPr>
          <w:p w14:paraId="329A1FED" w14:textId="46547503" w:rsidR="00A777D2" w:rsidRPr="00A36AC8" w:rsidRDefault="00A777D2" w:rsidP="009A3282">
            <w:pPr>
              <w:spacing w:after="40"/>
              <w:jc w:val="center"/>
              <w:rPr>
                <w:rFonts w:ascii="Arial" w:hAnsi="Arial" w:cs="Arial"/>
                <w:bCs/>
                <w:szCs w:val="20"/>
              </w:rPr>
            </w:pPr>
            <w:r>
              <w:rPr>
                <w:rFonts w:ascii="Arial" w:hAnsi="Arial" w:cs="Arial"/>
                <w:bCs/>
                <w:szCs w:val="20"/>
              </w:rPr>
              <w:t>H</w:t>
            </w:r>
          </w:p>
        </w:tc>
      </w:tr>
      <w:tr w:rsidR="00A777D2" w:rsidRPr="00A36AC8" w14:paraId="62407709" w14:textId="77777777" w:rsidTr="00A777D2">
        <w:trPr>
          <w:trHeight w:val="662"/>
        </w:trPr>
        <w:tc>
          <w:tcPr>
            <w:tcW w:w="539" w:type="pct"/>
            <w:vMerge/>
            <w:shd w:val="clear" w:color="auto" w:fill="auto"/>
          </w:tcPr>
          <w:p w14:paraId="77A8A4A9" w14:textId="77777777" w:rsidR="00A777D2" w:rsidRPr="00A36AC8" w:rsidRDefault="00A777D2" w:rsidP="001D09B7">
            <w:pPr>
              <w:pStyle w:val="ListParagraph"/>
              <w:numPr>
                <w:ilvl w:val="0"/>
                <w:numId w:val="8"/>
              </w:numPr>
              <w:rPr>
                <w:rFonts w:ascii="Arial" w:hAnsi="Arial" w:cs="Arial"/>
                <w:b/>
                <w:sz w:val="20"/>
                <w:szCs w:val="20"/>
              </w:rPr>
            </w:pPr>
          </w:p>
        </w:tc>
        <w:tc>
          <w:tcPr>
            <w:tcW w:w="3273" w:type="pct"/>
          </w:tcPr>
          <w:p w14:paraId="1BC1DC6F" w14:textId="77AF936F" w:rsidR="00A777D2" w:rsidRPr="00A36AC8" w:rsidRDefault="00A777D2" w:rsidP="001D09B7">
            <w:pPr>
              <w:pStyle w:val="ListParagraph"/>
              <w:numPr>
                <w:ilvl w:val="0"/>
                <w:numId w:val="2"/>
              </w:numPr>
              <w:spacing w:line="240" w:lineRule="auto"/>
              <w:ind w:left="357" w:hanging="357"/>
              <w:contextualSpacing w:val="0"/>
              <w:rPr>
                <w:rFonts w:ascii="Arial" w:hAnsi="Arial" w:cs="Arial"/>
                <w:sz w:val="20"/>
                <w:szCs w:val="20"/>
              </w:rPr>
            </w:pPr>
            <w:r w:rsidRPr="00A36AC8">
              <w:rPr>
                <w:rFonts w:ascii="Arial" w:hAnsi="Arial" w:cs="Arial"/>
                <w:sz w:val="20"/>
                <w:szCs w:val="20"/>
              </w:rPr>
              <w:t>An implementation plan for the Community Housing Industry Strategy (once endorsed), including communications and stakeholder engagement components</w:t>
            </w:r>
          </w:p>
        </w:tc>
        <w:tc>
          <w:tcPr>
            <w:tcW w:w="1188" w:type="pct"/>
            <w:shd w:val="clear" w:color="auto" w:fill="F7CAAC" w:themeFill="accent2" w:themeFillTint="66"/>
          </w:tcPr>
          <w:p w14:paraId="4A42D93A" w14:textId="372264D4" w:rsidR="00A777D2" w:rsidRPr="00A36AC8" w:rsidRDefault="00A777D2" w:rsidP="009A3282">
            <w:pPr>
              <w:spacing w:after="40"/>
              <w:jc w:val="center"/>
              <w:rPr>
                <w:rFonts w:ascii="Arial" w:hAnsi="Arial" w:cs="Arial"/>
                <w:bCs/>
                <w:szCs w:val="20"/>
              </w:rPr>
            </w:pPr>
            <w:r>
              <w:rPr>
                <w:rFonts w:ascii="Arial" w:hAnsi="Arial" w:cs="Arial"/>
                <w:bCs/>
                <w:szCs w:val="20"/>
              </w:rPr>
              <w:t>H</w:t>
            </w:r>
          </w:p>
        </w:tc>
      </w:tr>
      <w:tr w:rsidR="00A777D2" w:rsidRPr="00A36AC8" w14:paraId="0B832BCB" w14:textId="77777777" w:rsidTr="00A777D2">
        <w:trPr>
          <w:trHeight w:val="947"/>
        </w:trPr>
        <w:tc>
          <w:tcPr>
            <w:tcW w:w="539" w:type="pct"/>
            <w:vMerge/>
            <w:shd w:val="clear" w:color="auto" w:fill="auto"/>
          </w:tcPr>
          <w:p w14:paraId="66F77B94" w14:textId="77777777" w:rsidR="00A777D2" w:rsidRPr="00A36AC8" w:rsidRDefault="00A777D2" w:rsidP="001D09B7">
            <w:pPr>
              <w:pStyle w:val="ListParagraph"/>
              <w:numPr>
                <w:ilvl w:val="0"/>
                <w:numId w:val="8"/>
              </w:numPr>
              <w:rPr>
                <w:rFonts w:ascii="Arial" w:hAnsi="Arial" w:cs="Arial"/>
                <w:b/>
                <w:sz w:val="20"/>
                <w:szCs w:val="20"/>
              </w:rPr>
            </w:pPr>
          </w:p>
        </w:tc>
        <w:tc>
          <w:tcPr>
            <w:tcW w:w="3273" w:type="pct"/>
          </w:tcPr>
          <w:p w14:paraId="3F4CCDC2" w14:textId="5CEC6C2C" w:rsidR="00A777D2" w:rsidRPr="00A36AC8" w:rsidRDefault="00A777D2" w:rsidP="001C4CE2">
            <w:pPr>
              <w:pStyle w:val="ListParagraph"/>
              <w:numPr>
                <w:ilvl w:val="0"/>
                <w:numId w:val="2"/>
              </w:numPr>
              <w:spacing w:line="240" w:lineRule="auto"/>
              <w:ind w:left="357" w:hanging="357"/>
              <w:contextualSpacing w:val="0"/>
              <w:rPr>
                <w:rFonts w:ascii="Arial" w:hAnsi="Arial" w:cs="Arial"/>
                <w:sz w:val="20"/>
                <w:szCs w:val="20"/>
              </w:rPr>
            </w:pPr>
            <w:r w:rsidRPr="00A36AC8">
              <w:rPr>
                <w:rFonts w:ascii="Arial" w:hAnsi="Arial" w:cs="Arial"/>
                <w:sz w:val="20"/>
                <w:szCs w:val="20"/>
              </w:rPr>
              <w:t>Strategies for showcasing and promoting the sector and its viability to encourage investment, including resources and mechanisms to demonstrate sector growth, capacity and potential, and achievements to date in both growing supply and delivering services to clients</w:t>
            </w:r>
          </w:p>
        </w:tc>
        <w:tc>
          <w:tcPr>
            <w:tcW w:w="1188" w:type="pct"/>
            <w:shd w:val="clear" w:color="auto" w:fill="F7CAAC" w:themeFill="accent2" w:themeFillTint="66"/>
          </w:tcPr>
          <w:p w14:paraId="3521B474" w14:textId="3D82E84A" w:rsidR="00A777D2" w:rsidRPr="00A36AC8" w:rsidRDefault="00A777D2" w:rsidP="009A3282">
            <w:pPr>
              <w:spacing w:after="40"/>
              <w:jc w:val="center"/>
              <w:rPr>
                <w:rFonts w:ascii="Arial" w:hAnsi="Arial" w:cs="Arial"/>
                <w:szCs w:val="20"/>
              </w:rPr>
            </w:pPr>
            <w:r>
              <w:rPr>
                <w:rFonts w:ascii="Arial" w:hAnsi="Arial" w:cs="Arial"/>
                <w:szCs w:val="20"/>
              </w:rPr>
              <w:t>H</w:t>
            </w:r>
          </w:p>
        </w:tc>
      </w:tr>
      <w:tr w:rsidR="00A777D2" w:rsidRPr="00A36AC8" w14:paraId="20BD4565" w14:textId="77777777" w:rsidTr="00A777D2">
        <w:trPr>
          <w:trHeight w:val="549"/>
        </w:trPr>
        <w:tc>
          <w:tcPr>
            <w:tcW w:w="539" w:type="pct"/>
            <w:vMerge/>
            <w:shd w:val="clear" w:color="auto" w:fill="auto"/>
          </w:tcPr>
          <w:p w14:paraId="5E236F4E" w14:textId="77777777" w:rsidR="00A777D2" w:rsidRPr="00A36AC8" w:rsidRDefault="00A777D2" w:rsidP="001D09B7">
            <w:pPr>
              <w:pStyle w:val="ListParagraph"/>
              <w:numPr>
                <w:ilvl w:val="0"/>
                <w:numId w:val="8"/>
              </w:numPr>
              <w:rPr>
                <w:rFonts w:ascii="Arial" w:hAnsi="Arial" w:cs="Arial"/>
                <w:b/>
                <w:sz w:val="20"/>
                <w:szCs w:val="20"/>
              </w:rPr>
            </w:pPr>
          </w:p>
        </w:tc>
        <w:tc>
          <w:tcPr>
            <w:tcW w:w="3273" w:type="pct"/>
          </w:tcPr>
          <w:p w14:paraId="1071F7C7" w14:textId="3E623ACC" w:rsidR="00A777D2" w:rsidRPr="00A36AC8" w:rsidRDefault="00A777D2" w:rsidP="001C4CE2">
            <w:pPr>
              <w:pStyle w:val="ListParagraph"/>
              <w:numPr>
                <w:ilvl w:val="0"/>
                <w:numId w:val="2"/>
              </w:numPr>
              <w:spacing w:line="240" w:lineRule="auto"/>
              <w:ind w:left="357" w:hanging="357"/>
              <w:contextualSpacing w:val="0"/>
              <w:rPr>
                <w:rFonts w:ascii="Arial" w:hAnsi="Arial" w:cs="Arial"/>
                <w:sz w:val="20"/>
                <w:szCs w:val="20"/>
              </w:rPr>
            </w:pPr>
            <w:r w:rsidRPr="00A36AC8">
              <w:rPr>
                <w:rFonts w:ascii="Arial" w:hAnsi="Arial" w:cs="Arial"/>
                <w:sz w:val="20"/>
                <w:szCs w:val="20"/>
              </w:rPr>
              <w:t>An industry capacity building plan that builds on existing work within the sector and which incorporates an appropriate focus on metropolitan, regional and/or Aboriginal organisations and includes strategies appropriate to different tiers of registration</w:t>
            </w:r>
          </w:p>
        </w:tc>
        <w:tc>
          <w:tcPr>
            <w:tcW w:w="1188" w:type="pct"/>
            <w:shd w:val="clear" w:color="auto" w:fill="F7CAAC" w:themeFill="accent2" w:themeFillTint="66"/>
          </w:tcPr>
          <w:p w14:paraId="57167FAF" w14:textId="62163F77" w:rsidR="00A777D2" w:rsidRPr="00A36AC8" w:rsidRDefault="00A777D2" w:rsidP="009A3282">
            <w:pPr>
              <w:spacing w:after="40"/>
              <w:jc w:val="center"/>
              <w:rPr>
                <w:rFonts w:ascii="Arial" w:hAnsi="Arial" w:cs="Arial"/>
                <w:bCs/>
                <w:szCs w:val="20"/>
              </w:rPr>
            </w:pPr>
            <w:r>
              <w:rPr>
                <w:rFonts w:ascii="Arial" w:hAnsi="Arial" w:cs="Arial"/>
                <w:bCs/>
                <w:szCs w:val="20"/>
              </w:rPr>
              <w:t>H</w:t>
            </w:r>
          </w:p>
        </w:tc>
      </w:tr>
      <w:tr w:rsidR="00A777D2" w:rsidRPr="00A36AC8" w14:paraId="4223FB63" w14:textId="77777777" w:rsidTr="00A777D2">
        <w:trPr>
          <w:trHeight w:val="708"/>
        </w:trPr>
        <w:tc>
          <w:tcPr>
            <w:tcW w:w="539" w:type="pct"/>
            <w:vMerge/>
            <w:shd w:val="clear" w:color="auto" w:fill="auto"/>
          </w:tcPr>
          <w:p w14:paraId="100664D4" w14:textId="77777777" w:rsidR="00A777D2" w:rsidRPr="00A36AC8" w:rsidRDefault="00A777D2" w:rsidP="001D09B7">
            <w:pPr>
              <w:pStyle w:val="ListParagraph"/>
              <w:numPr>
                <w:ilvl w:val="0"/>
                <w:numId w:val="8"/>
              </w:numPr>
              <w:rPr>
                <w:rFonts w:ascii="Arial" w:hAnsi="Arial" w:cs="Arial"/>
                <w:b/>
                <w:sz w:val="20"/>
                <w:szCs w:val="20"/>
              </w:rPr>
            </w:pPr>
          </w:p>
        </w:tc>
        <w:tc>
          <w:tcPr>
            <w:tcW w:w="3273" w:type="pct"/>
          </w:tcPr>
          <w:p w14:paraId="6056D242" w14:textId="26E231F9" w:rsidR="00A777D2" w:rsidRPr="00A36AC8" w:rsidRDefault="00A777D2" w:rsidP="007E4D33">
            <w:pPr>
              <w:pStyle w:val="ListParagraph"/>
              <w:numPr>
                <w:ilvl w:val="0"/>
                <w:numId w:val="2"/>
              </w:numPr>
              <w:spacing w:line="240" w:lineRule="auto"/>
              <w:contextualSpacing w:val="0"/>
              <w:rPr>
                <w:rFonts w:ascii="Arial" w:hAnsi="Arial" w:cs="Arial"/>
                <w:sz w:val="20"/>
                <w:szCs w:val="20"/>
              </w:rPr>
            </w:pPr>
            <w:r w:rsidRPr="00A36AC8">
              <w:rPr>
                <w:rFonts w:ascii="Arial" w:hAnsi="Arial" w:cs="Arial"/>
                <w:sz w:val="20"/>
                <w:szCs w:val="20"/>
              </w:rPr>
              <w:t>A plan to build capacity of smaller and/ or regional CHPs to deliver more medium density affordable housing with planning system support</w:t>
            </w:r>
          </w:p>
        </w:tc>
        <w:tc>
          <w:tcPr>
            <w:tcW w:w="1188" w:type="pct"/>
            <w:shd w:val="clear" w:color="auto" w:fill="D9E2F3" w:themeFill="accent5" w:themeFillTint="33"/>
          </w:tcPr>
          <w:p w14:paraId="044ADE23" w14:textId="0A8D973E" w:rsidR="00A777D2" w:rsidRPr="00A36AC8" w:rsidRDefault="00A777D2" w:rsidP="009A3282">
            <w:pPr>
              <w:spacing w:after="40"/>
              <w:jc w:val="center"/>
              <w:rPr>
                <w:rFonts w:ascii="Arial" w:hAnsi="Arial" w:cs="Arial"/>
                <w:bCs/>
                <w:szCs w:val="20"/>
              </w:rPr>
            </w:pPr>
            <w:r>
              <w:rPr>
                <w:rFonts w:ascii="Arial" w:hAnsi="Arial" w:cs="Arial"/>
                <w:bCs/>
                <w:szCs w:val="20"/>
              </w:rPr>
              <w:t>M</w:t>
            </w:r>
          </w:p>
        </w:tc>
      </w:tr>
      <w:tr w:rsidR="00A777D2" w:rsidRPr="00A36AC8" w14:paraId="3CCDA87A" w14:textId="77777777" w:rsidTr="00A777D2">
        <w:trPr>
          <w:trHeight w:val="601"/>
        </w:trPr>
        <w:tc>
          <w:tcPr>
            <w:tcW w:w="539" w:type="pct"/>
            <w:vMerge/>
            <w:shd w:val="clear" w:color="auto" w:fill="auto"/>
          </w:tcPr>
          <w:p w14:paraId="181BED77" w14:textId="77777777" w:rsidR="00A777D2" w:rsidRPr="00A36AC8" w:rsidRDefault="00A777D2" w:rsidP="001D09B7">
            <w:pPr>
              <w:pStyle w:val="ListParagraph"/>
              <w:numPr>
                <w:ilvl w:val="0"/>
                <w:numId w:val="8"/>
              </w:numPr>
              <w:rPr>
                <w:rFonts w:ascii="Arial" w:hAnsi="Arial" w:cs="Arial"/>
                <w:b/>
                <w:sz w:val="20"/>
                <w:szCs w:val="20"/>
              </w:rPr>
            </w:pPr>
          </w:p>
        </w:tc>
        <w:tc>
          <w:tcPr>
            <w:tcW w:w="3273" w:type="pct"/>
          </w:tcPr>
          <w:p w14:paraId="0271A36F" w14:textId="716DF9C8" w:rsidR="00A777D2" w:rsidRPr="00A36AC8" w:rsidRDefault="00A777D2" w:rsidP="001C4CE2">
            <w:pPr>
              <w:pStyle w:val="ListParagraph"/>
              <w:numPr>
                <w:ilvl w:val="0"/>
                <w:numId w:val="2"/>
              </w:numPr>
              <w:spacing w:line="240" w:lineRule="auto"/>
              <w:ind w:left="357" w:hanging="357"/>
              <w:contextualSpacing w:val="0"/>
              <w:rPr>
                <w:rFonts w:ascii="Arial" w:hAnsi="Arial" w:cs="Arial"/>
                <w:sz w:val="20"/>
                <w:szCs w:val="20"/>
              </w:rPr>
            </w:pPr>
            <w:r w:rsidRPr="00A36AC8">
              <w:rPr>
                <w:rFonts w:ascii="Arial" w:hAnsi="Arial" w:cs="Arial"/>
                <w:sz w:val="20"/>
                <w:szCs w:val="20"/>
              </w:rPr>
              <w:t xml:space="preserve">An industry plan that addresses climate change as it impacts social and affordable housing. This would include strategies to: decarbonise social and affordable housing; promote energy efficiency, electrification and battery storage; promote resilience to natural calamities (bush fires, floods etc.) and help meet government emission targets. The plan will identify strategies, develop guidance documents and bring together resources, partners and stakeholders to help operationalise initiatives. The plan should ensure that obligations and expectations that are applied to the sector are in line with what government housing agencies are expected to deliver. </w:t>
            </w:r>
          </w:p>
        </w:tc>
        <w:tc>
          <w:tcPr>
            <w:tcW w:w="1188" w:type="pct"/>
            <w:shd w:val="clear" w:color="auto" w:fill="F7CAAC" w:themeFill="accent2" w:themeFillTint="66"/>
          </w:tcPr>
          <w:p w14:paraId="6324AB19" w14:textId="74EFE549" w:rsidR="00A777D2" w:rsidRPr="00A36AC8" w:rsidRDefault="00A777D2" w:rsidP="009A3282">
            <w:pPr>
              <w:spacing w:after="40"/>
              <w:jc w:val="center"/>
              <w:rPr>
                <w:rFonts w:ascii="Arial" w:hAnsi="Arial" w:cs="Arial"/>
                <w:bCs/>
                <w:szCs w:val="20"/>
              </w:rPr>
            </w:pPr>
            <w:r>
              <w:rPr>
                <w:rFonts w:ascii="Arial" w:hAnsi="Arial" w:cs="Arial"/>
                <w:bCs/>
                <w:szCs w:val="20"/>
              </w:rPr>
              <w:t>H</w:t>
            </w:r>
          </w:p>
        </w:tc>
      </w:tr>
    </w:tbl>
    <w:p w14:paraId="705C5152" w14:textId="15507174" w:rsidR="00410AEF" w:rsidRDefault="00410AEF" w:rsidP="005C15E8">
      <w:pPr>
        <w:kinsoku w:val="0"/>
        <w:overflowPunct w:val="0"/>
        <w:autoSpaceDE/>
        <w:autoSpaceDN/>
        <w:adjustRightInd/>
        <w:spacing w:before="101" w:line="509" w:lineRule="exact"/>
        <w:textAlignment w:val="baseline"/>
        <w:rPr>
          <w:rFonts w:ascii="Arial" w:hAnsi="Arial" w:cs="Arial"/>
          <w:color w:val="002060"/>
          <w:w w:val="95"/>
          <w:szCs w:val="20"/>
        </w:rPr>
      </w:pPr>
    </w:p>
    <w:p w14:paraId="4A1D1EB8" w14:textId="77777777" w:rsidR="00A777D2" w:rsidRPr="00A36AC8" w:rsidRDefault="00A777D2" w:rsidP="005C15E8">
      <w:pPr>
        <w:kinsoku w:val="0"/>
        <w:overflowPunct w:val="0"/>
        <w:autoSpaceDE/>
        <w:autoSpaceDN/>
        <w:adjustRightInd/>
        <w:spacing w:before="101" w:line="509" w:lineRule="exact"/>
        <w:textAlignment w:val="baseline"/>
        <w:rPr>
          <w:rFonts w:ascii="Arial" w:hAnsi="Arial" w:cs="Arial"/>
          <w:color w:val="002060"/>
          <w:w w:val="95"/>
          <w:szCs w:val="20"/>
        </w:rPr>
      </w:pPr>
    </w:p>
    <w:tbl>
      <w:tblPr>
        <w:tblW w:w="46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57" w:type="dxa"/>
          <w:bottom w:w="57" w:type="dxa"/>
          <w:right w:w="57" w:type="dxa"/>
        </w:tblCellMar>
        <w:tblLook w:val="04A0" w:firstRow="1" w:lastRow="0" w:firstColumn="1" w:lastColumn="0" w:noHBand="0" w:noVBand="1"/>
      </w:tblPr>
      <w:tblGrid>
        <w:gridCol w:w="1812"/>
        <w:gridCol w:w="9099"/>
        <w:gridCol w:w="3400"/>
      </w:tblGrid>
      <w:tr w:rsidR="00A777D2" w:rsidRPr="00A36AC8" w14:paraId="6C81B981" w14:textId="77777777" w:rsidTr="00A777D2">
        <w:trPr>
          <w:tblHeader/>
        </w:trPr>
        <w:tc>
          <w:tcPr>
            <w:tcW w:w="633" w:type="pct"/>
            <w:shd w:val="clear" w:color="auto" w:fill="01215C"/>
          </w:tcPr>
          <w:p w14:paraId="301F43D6" w14:textId="77777777" w:rsidR="00A777D2" w:rsidRPr="00A36AC8" w:rsidRDefault="00A777D2" w:rsidP="00DD0FAF">
            <w:pPr>
              <w:rPr>
                <w:rFonts w:ascii="Arial" w:hAnsi="Arial" w:cs="Arial"/>
                <w:b/>
                <w:szCs w:val="20"/>
              </w:rPr>
            </w:pPr>
            <w:r w:rsidRPr="00A36AC8">
              <w:rPr>
                <w:rFonts w:ascii="Arial" w:hAnsi="Arial" w:cs="Arial"/>
                <w:b/>
                <w:szCs w:val="20"/>
              </w:rPr>
              <w:lastRenderedPageBreak/>
              <w:t xml:space="preserve">What? </w:t>
            </w:r>
          </w:p>
        </w:tc>
        <w:tc>
          <w:tcPr>
            <w:tcW w:w="3179" w:type="pct"/>
            <w:shd w:val="clear" w:color="auto" w:fill="01215C"/>
          </w:tcPr>
          <w:p w14:paraId="7FD79A1B" w14:textId="128552EB" w:rsidR="00A777D2" w:rsidRPr="00A36AC8" w:rsidRDefault="00A777D2" w:rsidP="00DD0FAF">
            <w:pPr>
              <w:rPr>
                <w:rFonts w:ascii="Arial" w:hAnsi="Arial" w:cs="Arial"/>
                <w:b/>
                <w:szCs w:val="20"/>
              </w:rPr>
            </w:pPr>
            <w:r w:rsidRPr="00A36AC8">
              <w:rPr>
                <w:rFonts w:ascii="Arial" w:hAnsi="Arial" w:cs="Arial"/>
                <w:b/>
                <w:szCs w:val="20"/>
              </w:rPr>
              <w:t>Outputs and Scope of Work</w:t>
            </w:r>
          </w:p>
        </w:tc>
        <w:tc>
          <w:tcPr>
            <w:tcW w:w="1188" w:type="pct"/>
            <w:shd w:val="clear" w:color="auto" w:fill="01215C"/>
          </w:tcPr>
          <w:p w14:paraId="182F5BC8" w14:textId="198AE93D" w:rsidR="00A777D2" w:rsidRPr="00A36AC8" w:rsidRDefault="00A777D2" w:rsidP="00DD0FAF">
            <w:pPr>
              <w:rPr>
                <w:rFonts w:ascii="Arial" w:hAnsi="Arial" w:cs="Arial"/>
                <w:b/>
                <w:szCs w:val="20"/>
              </w:rPr>
            </w:pPr>
            <w:r>
              <w:rPr>
                <w:rFonts w:ascii="Arial" w:hAnsi="Arial" w:cs="Arial"/>
                <w:b/>
                <w:szCs w:val="20"/>
              </w:rPr>
              <w:t>Priority – Low, Medium or High</w:t>
            </w:r>
          </w:p>
        </w:tc>
      </w:tr>
      <w:tr w:rsidR="00A777D2" w:rsidRPr="00A36AC8" w14:paraId="428D96DF" w14:textId="77777777" w:rsidTr="00A777D2">
        <w:trPr>
          <w:trHeight w:val="717"/>
        </w:trPr>
        <w:tc>
          <w:tcPr>
            <w:tcW w:w="633" w:type="pct"/>
            <w:vMerge w:val="restart"/>
            <w:shd w:val="clear" w:color="auto" w:fill="auto"/>
          </w:tcPr>
          <w:p w14:paraId="03100603" w14:textId="164F3B0B" w:rsidR="00A777D2" w:rsidRPr="00A36AC8" w:rsidRDefault="00A777D2" w:rsidP="00996F4C">
            <w:pPr>
              <w:pStyle w:val="ListParagraph"/>
              <w:numPr>
                <w:ilvl w:val="0"/>
                <w:numId w:val="8"/>
              </w:numPr>
              <w:rPr>
                <w:rFonts w:ascii="Arial" w:eastAsia="Calibri" w:hAnsi="Arial" w:cs="Arial"/>
                <w:b/>
                <w:sz w:val="20"/>
                <w:szCs w:val="20"/>
              </w:rPr>
            </w:pPr>
            <w:r w:rsidRPr="00A36AC8">
              <w:rPr>
                <w:rFonts w:ascii="Arial" w:eastAsia="Calibri" w:hAnsi="Arial" w:cs="Arial"/>
                <w:b/>
                <w:sz w:val="20"/>
                <w:szCs w:val="20"/>
              </w:rPr>
              <w:t>Continue to review the effectiveness and risks of current and potential financial models and contracting processes to support industry sustainability, development and growth</w:t>
            </w:r>
          </w:p>
          <w:p w14:paraId="3F90EEB8" w14:textId="77777777" w:rsidR="00A777D2" w:rsidRPr="00A36AC8" w:rsidRDefault="00A777D2" w:rsidP="00A71551">
            <w:pPr>
              <w:rPr>
                <w:rFonts w:ascii="Arial" w:hAnsi="Arial" w:cs="Arial"/>
                <w:szCs w:val="20"/>
              </w:rPr>
            </w:pPr>
          </w:p>
        </w:tc>
        <w:tc>
          <w:tcPr>
            <w:tcW w:w="3179" w:type="pct"/>
          </w:tcPr>
          <w:p w14:paraId="05761D67" w14:textId="5E388FB4" w:rsidR="00A777D2" w:rsidRPr="00A36AC8" w:rsidRDefault="00A777D2" w:rsidP="00C073C3">
            <w:pPr>
              <w:pStyle w:val="ListParagraph"/>
              <w:numPr>
                <w:ilvl w:val="0"/>
                <w:numId w:val="10"/>
              </w:numPr>
              <w:spacing w:line="240" w:lineRule="auto"/>
              <w:contextualSpacing w:val="0"/>
              <w:rPr>
                <w:rFonts w:ascii="Arial" w:hAnsi="Arial" w:cs="Arial"/>
                <w:sz w:val="20"/>
                <w:szCs w:val="20"/>
              </w:rPr>
            </w:pPr>
            <w:r w:rsidRPr="00A36AC8">
              <w:rPr>
                <w:rFonts w:ascii="Arial" w:hAnsi="Arial" w:cs="Arial"/>
                <w:sz w:val="20"/>
                <w:szCs w:val="20"/>
              </w:rPr>
              <w:t>Identification of the costs, value-adds and funding methods of providing ancillary services and supports to tenants which are over and above tenancy management, and the implications of such matters.</w:t>
            </w:r>
          </w:p>
        </w:tc>
        <w:tc>
          <w:tcPr>
            <w:tcW w:w="1188" w:type="pct"/>
            <w:shd w:val="clear" w:color="auto" w:fill="D9E2F3" w:themeFill="accent5" w:themeFillTint="33"/>
          </w:tcPr>
          <w:p w14:paraId="2AD3525B" w14:textId="323C1177" w:rsidR="00A777D2" w:rsidRPr="00A36AC8" w:rsidRDefault="00A777D2" w:rsidP="00C67DAB">
            <w:pPr>
              <w:spacing w:after="40"/>
              <w:jc w:val="center"/>
              <w:rPr>
                <w:rFonts w:ascii="Arial" w:hAnsi="Arial" w:cs="Arial"/>
                <w:szCs w:val="20"/>
              </w:rPr>
            </w:pPr>
            <w:r>
              <w:rPr>
                <w:rFonts w:ascii="Arial" w:hAnsi="Arial" w:cs="Arial"/>
                <w:szCs w:val="20"/>
              </w:rPr>
              <w:t>M</w:t>
            </w:r>
          </w:p>
        </w:tc>
      </w:tr>
      <w:tr w:rsidR="00A777D2" w:rsidRPr="00A36AC8" w14:paraId="42CBFCD2" w14:textId="77777777" w:rsidTr="00A777D2">
        <w:trPr>
          <w:trHeight w:val="853"/>
        </w:trPr>
        <w:tc>
          <w:tcPr>
            <w:tcW w:w="633" w:type="pct"/>
            <w:vMerge/>
            <w:shd w:val="clear" w:color="auto" w:fill="auto"/>
          </w:tcPr>
          <w:p w14:paraId="51A2D645" w14:textId="77777777" w:rsidR="00A777D2" w:rsidRPr="00A36AC8" w:rsidRDefault="00A777D2" w:rsidP="00996F4C">
            <w:pPr>
              <w:pStyle w:val="ListParagraph"/>
              <w:numPr>
                <w:ilvl w:val="0"/>
                <w:numId w:val="8"/>
              </w:numPr>
              <w:rPr>
                <w:rFonts w:ascii="Arial" w:eastAsia="Calibri" w:hAnsi="Arial" w:cs="Arial"/>
                <w:b/>
                <w:sz w:val="20"/>
                <w:szCs w:val="20"/>
              </w:rPr>
            </w:pPr>
          </w:p>
        </w:tc>
        <w:tc>
          <w:tcPr>
            <w:tcW w:w="3179" w:type="pct"/>
          </w:tcPr>
          <w:p w14:paraId="6F0303A8" w14:textId="78C65A1C" w:rsidR="00A777D2" w:rsidRPr="00A36AC8" w:rsidRDefault="00A777D2" w:rsidP="006B192F">
            <w:pPr>
              <w:pStyle w:val="ListParagraph"/>
              <w:numPr>
                <w:ilvl w:val="0"/>
                <w:numId w:val="10"/>
              </w:numPr>
              <w:spacing w:line="240" w:lineRule="auto"/>
              <w:contextualSpacing w:val="0"/>
              <w:rPr>
                <w:rFonts w:ascii="Arial" w:hAnsi="Arial" w:cs="Arial"/>
                <w:sz w:val="20"/>
                <w:szCs w:val="20"/>
              </w:rPr>
            </w:pPr>
            <w:r w:rsidRPr="00A36AC8">
              <w:rPr>
                <w:rFonts w:ascii="Arial" w:hAnsi="Arial" w:cs="Arial"/>
                <w:sz w:val="20"/>
                <w:szCs w:val="20"/>
              </w:rPr>
              <w:t>An implementation plan for the Partnerships Framework and Guidance Notes (as endorsed by DCJ Secretary) including media and communications and stakeholder engagement components</w:t>
            </w:r>
          </w:p>
        </w:tc>
        <w:tc>
          <w:tcPr>
            <w:tcW w:w="1188" w:type="pct"/>
            <w:shd w:val="clear" w:color="auto" w:fill="F7CAAC" w:themeFill="accent2" w:themeFillTint="66"/>
          </w:tcPr>
          <w:p w14:paraId="32EDFFC3" w14:textId="4576C418" w:rsidR="00A777D2" w:rsidRPr="00A36AC8" w:rsidRDefault="00A777D2" w:rsidP="00C67DAB">
            <w:pPr>
              <w:spacing w:after="40"/>
              <w:jc w:val="center"/>
              <w:rPr>
                <w:rFonts w:ascii="Arial" w:hAnsi="Arial" w:cs="Arial"/>
                <w:bCs/>
                <w:szCs w:val="20"/>
              </w:rPr>
            </w:pPr>
            <w:r>
              <w:rPr>
                <w:rFonts w:ascii="Arial" w:hAnsi="Arial" w:cs="Arial"/>
                <w:bCs/>
                <w:szCs w:val="20"/>
              </w:rPr>
              <w:t>H</w:t>
            </w:r>
          </w:p>
        </w:tc>
      </w:tr>
      <w:tr w:rsidR="00A777D2" w:rsidRPr="00A36AC8" w14:paraId="17D59F0F" w14:textId="77777777" w:rsidTr="00A777D2">
        <w:trPr>
          <w:trHeight w:val="714"/>
        </w:trPr>
        <w:tc>
          <w:tcPr>
            <w:tcW w:w="633" w:type="pct"/>
            <w:vMerge/>
            <w:shd w:val="clear" w:color="auto" w:fill="auto"/>
          </w:tcPr>
          <w:p w14:paraId="26AECE2C" w14:textId="77777777" w:rsidR="00A777D2" w:rsidRPr="00A36AC8" w:rsidRDefault="00A777D2" w:rsidP="00996F4C">
            <w:pPr>
              <w:pStyle w:val="ListParagraph"/>
              <w:numPr>
                <w:ilvl w:val="0"/>
                <w:numId w:val="8"/>
              </w:numPr>
              <w:rPr>
                <w:rFonts w:ascii="Arial" w:eastAsia="Calibri" w:hAnsi="Arial" w:cs="Arial"/>
                <w:b/>
                <w:sz w:val="20"/>
                <w:szCs w:val="20"/>
              </w:rPr>
            </w:pPr>
          </w:p>
        </w:tc>
        <w:tc>
          <w:tcPr>
            <w:tcW w:w="3179" w:type="pct"/>
          </w:tcPr>
          <w:p w14:paraId="1B282536" w14:textId="5E7A74B6" w:rsidR="00A777D2" w:rsidRPr="00A36AC8" w:rsidRDefault="00A777D2" w:rsidP="00EE7D41">
            <w:pPr>
              <w:pStyle w:val="ListParagraph"/>
              <w:numPr>
                <w:ilvl w:val="0"/>
                <w:numId w:val="10"/>
              </w:numPr>
              <w:spacing w:line="240" w:lineRule="auto"/>
              <w:contextualSpacing w:val="0"/>
              <w:rPr>
                <w:rFonts w:ascii="Arial" w:hAnsi="Arial" w:cs="Arial"/>
                <w:sz w:val="20"/>
                <w:szCs w:val="20"/>
              </w:rPr>
            </w:pPr>
            <w:r w:rsidRPr="00A36AC8">
              <w:rPr>
                <w:rFonts w:ascii="Arial" w:hAnsi="Arial" w:cs="Arial"/>
                <w:sz w:val="20"/>
                <w:szCs w:val="20"/>
              </w:rPr>
              <w:t>Ongoing identification of risks and risk trends not currently addressed in the Partnerships Framework and Guidance Notes, including amending or adding to those documents where required</w:t>
            </w:r>
          </w:p>
        </w:tc>
        <w:tc>
          <w:tcPr>
            <w:tcW w:w="1188" w:type="pct"/>
            <w:shd w:val="clear" w:color="auto" w:fill="E2EFD9" w:themeFill="accent6" w:themeFillTint="33"/>
          </w:tcPr>
          <w:p w14:paraId="2BAEA0B6" w14:textId="784D9998" w:rsidR="00A777D2" w:rsidRPr="00A36AC8" w:rsidRDefault="00A777D2" w:rsidP="00C67DAB">
            <w:pPr>
              <w:spacing w:after="40"/>
              <w:jc w:val="center"/>
              <w:rPr>
                <w:rFonts w:ascii="Arial" w:hAnsi="Arial" w:cs="Arial"/>
                <w:bCs/>
                <w:szCs w:val="20"/>
              </w:rPr>
            </w:pPr>
            <w:r>
              <w:rPr>
                <w:rFonts w:ascii="Arial" w:hAnsi="Arial" w:cs="Arial"/>
                <w:bCs/>
                <w:szCs w:val="20"/>
              </w:rPr>
              <w:t>L</w:t>
            </w:r>
          </w:p>
        </w:tc>
      </w:tr>
      <w:tr w:rsidR="00A777D2" w:rsidRPr="00A36AC8" w14:paraId="659BC46F" w14:textId="77777777" w:rsidTr="00A777D2">
        <w:trPr>
          <w:trHeight w:val="555"/>
        </w:trPr>
        <w:tc>
          <w:tcPr>
            <w:tcW w:w="633" w:type="pct"/>
            <w:vMerge/>
            <w:shd w:val="clear" w:color="auto" w:fill="auto"/>
          </w:tcPr>
          <w:p w14:paraId="7943BD1D" w14:textId="77777777" w:rsidR="00A777D2" w:rsidRPr="00A36AC8" w:rsidRDefault="00A777D2" w:rsidP="00996F4C">
            <w:pPr>
              <w:pStyle w:val="ListParagraph"/>
              <w:numPr>
                <w:ilvl w:val="0"/>
                <w:numId w:val="8"/>
              </w:numPr>
              <w:rPr>
                <w:rFonts w:ascii="Arial" w:eastAsia="Calibri" w:hAnsi="Arial" w:cs="Arial"/>
                <w:b/>
                <w:sz w:val="20"/>
                <w:szCs w:val="20"/>
              </w:rPr>
            </w:pPr>
          </w:p>
        </w:tc>
        <w:tc>
          <w:tcPr>
            <w:tcW w:w="3179" w:type="pct"/>
          </w:tcPr>
          <w:p w14:paraId="36BB0A5B" w14:textId="2BA23D45" w:rsidR="00A777D2" w:rsidRPr="00A36AC8" w:rsidRDefault="00A777D2" w:rsidP="00EE7D41">
            <w:pPr>
              <w:pStyle w:val="ListParagraph"/>
              <w:numPr>
                <w:ilvl w:val="0"/>
                <w:numId w:val="10"/>
              </w:numPr>
              <w:spacing w:line="240" w:lineRule="auto"/>
              <w:contextualSpacing w:val="0"/>
              <w:rPr>
                <w:rFonts w:ascii="Arial" w:hAnsi="Arial" w:cs="Arial"/>
                <w:sz w:val="20"/>
                <w:szCs w:val="20"/>
              </w:rPr>
            </w:pPr>
            <w:r w:rsidRPr="00A36AC8">
              <w:rPr>
                <w:rFonts w:ascii="Arial" w:hAnsi="Arial" w:cs="Arial"/>
                <w:sz w:val="20"/>
                <w:szCs w:val="20"/>
              </w:rPr>
              <w:t>Identification of insurance issues and costs peculiar to the sector that need to be monitored or addressed</w:t>
            </w:r>
          </w:p>
        </w:tc>
        <w:tc>
          <w:tcPr>
            <w:tcW w:w="1188" w:type="pct"/>
            <w:shd w:val="clear" w:color="auto" w:fill="E2EFD9" w:themeFill="accent6" w:themeFillTint="33"/>
          </w:tcPr>
          <w:p w14:paraId="03D9FFDB" w14:textId="540A43FE" w:rsidR="00A777D2" w:rsidRPr="00A36AC8" w:rsidRDefault="00A777D2" w:rsidP="00C67DAB">
            <w:pPr>
              <w:spacing w:after="40"/>
              <w:jc w:val="center"/>
              <w:rPr>
                <w:rFonts w:ascii="Arial" w:hAnsi="Arial" w:cs="Arial"/>
                <w:szCs w:val="20"/>
              </w:rPr>
            </w:pPr>
            <w:r>
              <w:rPr>
                <w:rFonts w:ascii="Arial" w:hAnsi="Arial" w:cs="Arial"/>
                <w:szCs w:val="20"/>
              </w:rPr>
              <w:t>L</w:t>
            </w:r>
          </w:p>
        </w:tc>
      </w:tr>
      <w:tr w:rsidR="00A777D2" w:rsidRPr="00A36AC8" w14:paraId="53CF9B47" w14:textId="77777777" w:rsidTr="004D2AFA">
        <w:trPr>
          <w:trHeight w:val="714"/>
        </w:trPr>
        <w:tc>
          <w:tcPr>
            <w:tcW w:w="633" w:type="pct"/>
            <w:vMerge/>
            <w:shd w:val="clear" w:color="auto" w:fill="auto"/>
          </w:tcPr>
          <w:p w14:paraId="23CBC765" w14:textId="77777777" w:rsidR="00A777D2" w:rsidRPr="00A36AC8" w:rsidRDefault="00A777D2" w:rsidP="00996F4C">
            <w:pPr>
              <w:pStyle w:val="ListParagraph"/>
              <w:numPr>
                <w:ilvl w:val="0"/>
                <w:numId w:val="8"/>
              </w:numPr>
              <w:rPr>
                <w:rFonts w:ascii="Arial" w:eastAsia="Calibri" w:hAnsi="Arial" w:cs="Arial"/>
                <w:b/>
                <w:sz w:val="20"/>
                <w:szCs w:val="20"/>
              </w:rPr>
            </w:pPr>
          </w:p>
        </w:tc>
        <w:tc>
          <w:tcPr>
            <w:tcW w:w="3179" w:type="pct"/>
          </w:tcPr>
          <w:p w14:paraId="5BAD24D6" w14:textId="5AE841C4" w:rsidR="00A777D2" w:rsidRPr="00A36AC8" w:rsidRDefault="00A777D2" w:rsidP="00E67A20">
            <w:pPr>
              <w:pStyle w:val="ListParagraph"/>
              <w:numPr>
                <w:ilvl w:val="0"/>
                <w:numId w:val="10"/>
              </w:numPr>
              <w:spacing w:line="240" w:lineRule="auto"/>
              <w:contextualSpacing w:val="0"/>
              <w:rPr>
                <w:rFonts w:ascii="Arial" w:hAnsi="Arial" w:cs="Arial"/>
                <w:sz w:val="20"/>
                <w:szCs w:val="20"/>
              </w:rPr>
            </w:pPr>
            <w:r w:rsidRPr="00A36AC8">
              <w:rPr>
                <w:rFonts w:ascii="Arial" w:hAnsi="Arial" w:cs="Arial"/>
                <w:sz w:val="20"/>
                <w:szCs w:val="20"/>
              </w:rPr>
              <w:t xml:space="preserve">Identification of relevant policy issues and changes that could enhance the sector, including making full use of partnerships with the Commonwealth (noting the current National Housing and Homelessness Agreement expires in </w:t>
            </w:r>
            <w:r>
              <w:rPr>
                <w:rFonts w:ascii="Arial" w:hAnsi="Arial" w:cs="Arial"/>
                <w:sz w:val="20"/>
                <w:szCs w:val="20"/>
              </w:rPr>
              <w:t xml:space="preserve">June </w:t>
            </w:r>
            <w:r w:rsidRPr="00A36AC8">
              <w:rPr>
                <w:rFonts w:ascii="Arial" w:hAnsi="Arial" w:cs="Arial"/>
                <w:sz w:val="20"/>
                <w:szCs w:val="20"/>
              </w:rPr>
              <w:t>202</w:t>
            </w:r>
            <w:r>
              <w:rPr>
                <w:rFonts w:ascii="Arial" w:hAnsi="Arial" w:cs="Arial"/>
                <w:sz w:val="20"/>
                <w:szCs w:val="20"/>
              </w:rPr>
              <w:t>3</w:t>
            </w:r>
            <w:r w:rsidRPr="00A36AC8">
              <w:rPr>
                <w:rFonts w:ascii="Arial" w:hAnsi="Arial" w:cs="Arial"/>
                <w:sz w:val="20"/>
                <w:szCs w:val="20"/>
              </w:rPr>
              <w:t>) and possibly having observers from the Commonwealth attend meetings of the CHIC</w:t>
            </w:r>
            <w:r>
              <w:rPr>
                <w:rFonts w:ascii="Arial" w:hAnsi="Arial" w:cs="Arial"/>
                <w:sz w:val="20"/>
                <w:szCs w:val="20"/>
              </w:rPr>
              <w:t xml:space="preserve">. This will include </w:t>
            </w:r>
            <w:r w:rsidR="002703F1">
              <w:rPr>
                <w:rFonts w:ascii="Arial" w:hAnsi="Arial" w:cs="Arial"/>
                <w:sz w:val="20"/>
                <w:szCs w:val="20"/>
              </w:rPr>
              <w:t xml:space="preserve">working with the commonwealth, state and local governments, CHPs and ACHPS to optimise short and long-term outcomes of </w:t>
            </w:r>
            <w:r w:rsidR="00E67A20">
              <w:rPr>
                <w:rFonts w:ascii="Arial" w:hAnsi="Arial" w:cs="Arial"/>
                <w:sz w:val="20"/>
                <w:szCs w:val="20"/>
              </w:rPr>
              <w:t>f</w:t>
            </w:r>
            <w:r w:rsidR="002703F1">
              <w:rPr>
                <w:rFonts w:ascii="Arial" w:hAnsi="Arial" w:cs="Arial"/>
                <w:sz w:val="20"/>
                <w:szCs w:val="20"/>
              </w:rPr>
              <w:t xml:space="preserve">ederal </w:t>
            </w:r>
            <w:r w:rsidR="00E67A20">
              <w:rPr>
                <w:rFonts w:ascii="Arial" w:hAnsi="Arial" w:cs="Arial"/>
                <w:sz w:val="20"/>
                <w:szCs w:val="20"/>
              </w:rPr>
              <w:t>government h</w:t>
            </w:r>
            <w:r w:rsidR="002703F1">
              <w:rPr>
                <w:rFonts w:ascii="Arial" w:hAnsi="Arial" w:cs="Arial"/>
                <w:sz w:val="20"/>
                <w:szCs w:val="20"/>
              </w:rPr>
              <w:t>ousing initiatives</w:t>
            </w:r>
            <w:r w:rsidR="00E67A20">
              <w:rPr>
                <w:rFonts w:ascii="Arial" w:hAnsi="Arial" w:cs="Arial"/>
                <w:sz w:val="20"/>
                <w:szCs w:val="20"/>
              </w:rPr>
              <w:t>, such as the Housing Affordability Future Fund (HAFF)</w:t>
            </w:r>
          </w:p>
        </w:tc>
        <w:tc>
          <w:tcPr>
            <w:tcW w:w="1188" w:type="pct"/>
            <w:shd w:val="clear" w:color="auto" w:fill="F7CAAC" w:themeFill="accent2" w:themeFillTint="66"/>
          </w:tcPr>
          <w:p w14:paraId="734C03C0" w14:textId="65808817" w:rsidR="00A777D2" w:rsidRPr="00A36AC8" w:rsidRDefault="004D2AFA" w:rsidP="00C67DAB">
            <w:pPr>
              <w:spacing w:after="40"/>
              <w:jc w:val="center"/>
              <w:rPr>
                <w:rFonts w:ascii="Arial" w:hAnsi="Arial" w:cs="Arial"/>
                <w:bCs/>
                <w:szCs w:val="20"/>
              </w:rPr>
            </w:pPr>
            <w:r>
              <w:rPr>
                <w:rFonts w:ascii="Arial" w:hAnsi="Arial" w:cs="Arial"/>
                <w:bCs/>
                <w:szCs w:val="20"/>
              </w:rPr>
              <w:t>H</w:t>
            </w:r>
          </w:p>
        </w:tc>
      </w:tr>
      <w:tr w:rsidR="00A777D2" w:rsidRPr="00A36AC8" w14:paraId="58FDFD03" w14:textId="77777777" w:rsidTr="004D2AFA">
        <w:trPr>
          <w:trHeight w:val="259"/>
        </w:trPr>
        <w:tc>
          <w:tcPr>
            <w:tcW w:w="633" w:type="pct"/>
            <w:vMerge/>
            <w:shd w:val="clear" w:color="auto" w:fill="auto"/>
          </w:tcPr>
          <w:p w14:paraId="5E84D360" w14:textId="77777777" w:rsidR="00A777D2" w:rsidRPr="00A36AC8" w:rsidRDefault="00A777D2" w:rsidP="00996F4C">
            <w:pPr>
              <w:pStyle w:val="ListParagraph"/>
              <w:numPr>
                <w:ilvl w:val="0"/>
                <w:numId w:val="8"/>
              </w:numPr>
              <w:rPr>
                <w:rFonts w:ascii="Arial" w:eastAsia="Calibri" w:hAnsi="Arial" w:cs="Arial"/>
                <w:b/>
                <w:sz w:val="20"/>
                <w:szCs w:val="20"/>
              </w:rPr>
            </w:pPr>
          </w:p>
        </w:tc>
        <w:tc>
          <w:tcPr>
            <w:tcW w:w="3179" w:type="pct"/>
          </w:tcPr>
          <w:p w14:paraId="28ADE8E3" w14:textId="3F271C37" w:rsidR="00A777D2" w:rsidRPr="00A36AC8" w:rsidRDefault="00A777D2" w:rsidP="00C073C3">
            <w:pPr>
              <w:pStyle w:val="ListParagraph"/>
              <w:numPr>
                <w:ilvl w:val="0"/>
                <w:numId w:val="10"/>
              </w:numPr>
              <w:spacing w:line="240" w:lineRule="auto"/>
              <w:contextualSpacing w:val="0"/>
              <w:rPr>
                <w:rFonts w:ascii="Arial" w:hAnsi="Arial" w:cs="Arial"/>
                <w:sz w:val="20"/>
                <w:szCs w:val="20"/>
              </w:rPr>
            </w:pPr>
            <w:r w:rsidRPr="00A36AC8">
              <w:rPr>
                <w:rFonts w:ascii="Arial" w:hAnsi="Arial" w:cs="Arial"/>
                <w:sz w:val="20"/>
                <w:szCs w:val="20"/>
              </w:rPr>
              <w:t>Identification of the advantages and disadvantages of funding models for the sector, including increased understanding of how the finance sector interacts with CHPs and how the Social enterprise sector interacts with CHPs and what opportunities there are to be leveraged</w:t>
            </w:r>
          </w:p>
        </w:tc>
        <w:tc>
          <w:tcPr>
            <w:tcW w:w="1188" w:type="pct"/>
            <w:shd w:val="clear" w:color="auto" w:fill="F7CAAC" w:themeFill="accent2" w:themeFillTint="66"/>
          </w:tcPr>
          <w:p w14:paraId="0E3C517F" w14:textId="71D2EB48" w:rsidR="00A777D2" w:rsidRPr="00A36AC8" w:rsidRDefault="004D2AFA" w:rsidP="00C67DAB">
            <w:pPr>
              <w:spacing w:after="40"/>
              <w:jc w:val="center"/>
              <w:rPr>
                <w:rFonts w:ascii="Arial" w:hAnsi="Arial" w:cs="Arial"/>
                <w:bCs/>
                <w:szCs w:val="20"/>
              </w:rPr>
            </w:pPr>
            <w:r>
              <w:rPr>
                <w:rFonts w:ascii="Arial" w:hAnsi="Arial" w:cs="Arial"/>
                <w:bCs/>
                <w:szCs w:val="20"/>
              </w:rPr>
              <w:t>H</w:t>
            </w:r>
          </w:p>
        </w:tc>
      </w:tr>
      <w:tr w:rsidR="00A777D2" w:rsidRPr="00A36AC8" w14:paraId="3C7DBFC6" w14:textId="77777777" w:rsidTr="00A777D2">
        <w:trPr>
          <w:trHeight w:val="367"/>
        </w:trPr>
        <w:tc>
          <w:tcPr>
            <w:tcW w:w="633" w:type="pct"/>
            <w:vMerge/>
            <w:shd w:val="clear" w:color="auto" w:fill="auto"/>
          </w:tcPr>
          <w:p w14:paraId="22E0442B" w14:textId="77777777" w:rsidR="00A777D2" w:rsidRPr="00A36AC8" w:rsidRDefault="00A777D2" w:rsidP="00996F4C">
            <w:pPr>
              <w:pStyle w:val="ListParagraph"/>
              <w:numPr>
                <w:ilvl w:val="0"/>
                <w:numId w:val="8"/>
              </w:numPr>
              <w:rPr>
                <w:rFonts w:ascii="Arial" w:eastAsia="Calibri" w:hAnsi="Arial" w:cs="Arial"/>
                <w:b/>
                <w:sz w:val="20"/>
                <w:szCs w:val="20"/>
              </w:rPr>
            </w:pPr>
          </w:p>
        </w:tc>
        <w:tc>
          <w:tcPr>
            <w:tcW w:w="3179" w:type="pct"/>
          </w:tcPr>
          <w:p w14:paraId="10A3E490" w14:textId="5BC9B64B" w:rsidR="00A777D2" w:rsidRPr="00A36AC8" w:rsidRDefault="00A777D2" w:rsidP="00C073C3">
            <w:pPr>
              <w:pStyle w:val="ListParagraph"/>
              <w:numPr>
                <w:ilvl w:val="0"/>
                <w:numId w:val="10"/>
              </w:numPr>
              <w:spacing w:line="240" w:lineRule="auto"/>
              <w:contextualSpacing w:val="0"/>
              <w:rPr>
                <w:rFonts w:ascii="Arial" w:hAnsi="Arial" w:cs="Arial"/>
                <w:sz w:val="20"/>
                <w:szCs w:val="20"/>
              </w:rPr>
            </w:pPr>
            <w:r w:rsidRPr="00A36AC8">
              <w:rPr>
                <w:rFonts w:ascii="Arial" w:hAnsi="Arial" w:cs="Arial"/>
                <w:sz w:val="20"/>
                <w:szCs w:val="20"/>
              </w:rPr>
              <w:t>Participation in any review of NHFIC</w:t>
            </w:r>
          </w:p>
        </w:tc>
        <w:tc>
          <w:tcPr>
            <w:tcW w:w="1188" w:type="pct"/>
            <w:shd w:val="clear" w:color="auto" w:fill="E2EFD9" w:themeFill="accent6" w:themeFillTint="33"/>
          </w:tcPr>
          <w:p w14:paraId="4E231164" w14:textId="0AB1B180" w:rsidR="00A777D2" w:rsidRPr="00A36AC8" w:rsidRDefault="00A777D2" w:rsidP="00C67DAB">
            <w:pPr>
              <w:spacing w:after="40"/>
              <w:jc w:val="center"/>
              <w:rPr>
                <w:rFonts w:ascii="Arial" w:hAnsi="Arial" w:cs="Arial"/>
                <w:szCs w:val="20"/>
              </w:rPr>
            </w:pPr>
            <w:r>
              <w:rPr>
                <w:rFonts w:ascii="Arial" w:hAnsi="Arial" w:cs="Arial"/>
                <w:szCs w:val="20"/>
              </w:rPr>
              <w:t>L</w:t>
            </w:r>
          </w:p>
        </w:tc>
      </w:tr>
      <w:tr w:rsidR="00A777D2" w:rsidRPr="00A36AC8" w14:paraId="383403BA" w14:textId="77777777" w:rsidTr="00A777D2">
        <w:trPr>
          <w:trHeight w:val="444"/>
        </w:trPr>
        <w:tc>
          <w:tcPr>
            <w:tcW w:w="633" w:type="pct"/>
            <w:vMerge/>
            <w:shd w:val="clear" w:color="auto" w:fill="auto"/>
          </w:tcPr>
          <w:p w14:paraId="3F32F043" w14:textId="77777777" w:rsidR="00A777D2" w:rsidRPr="00A36AC8" w:rsidRDefault="00A777D2" w:rsidP="00996F4C">
            <w:pPr>
              <w:pStyle w:val="ListParagraph"/>
              <w:numPr>
                <w:ilvl w:val="0"/>
                <w:numId w:val="8"/>
              </w:numPr>
              <w:rPr>
                <w:rFonts w:ascii="Arial" w:eastAsia="Calibri" w:hAnsi="Arial" w:cs="Arial"/>
                <w:b/>
                <w:sz w:val="20"/>
                <w:szCs w:val="20"/>
              </w:rPr>
            </w:pPr>
          </w:p>
        </w:tc>
        <w:tc>
          <w:tcPr>
            <w:tcW w:w="3179" w:type="pct"/>
          </w:tcPr>
          <w:p w14:paraId="2038124F" w14:textId="64633815" w:rsidR="00A777D2" w:rsidRPr="00A36AC8" w:rsidRDefault="00A777D2" w:rsidP="00AE018A">
            <w:pPr>
              <w:pStyle w:val="ListParagraph"/>
              <w:numPr>
                <w:ilvl w:val="0"/>
                <w:numId w:val="10"/>
              </w:numPr>
              <w:spacing w:line="240" w:lineRule="auto"/>
              <w:contextualSpacing w:val="0"/>
              <w:rPr>
                <w:rFonts w:ascii="Arial" w:hAnsi="Arial" w:cs="Arial"/>
                <w:sz w:val="20"/>
                <w:szCs w:val="20"/>
              </w:rPr>
            </w:pPr>
            <w:r w:rsidRPr="00A36AC8">
              <w:rPr>
                <w:rFonts w:ascii="Arial" w:hAnsi="Arial" w:cs="Arial"/>
                <w:sz w:val="20"/>
                <w:szCs w:val="20"/>
              </w:rPr>
              <w:t>Trends in for-profit organisations gaining registration are monitored</w:t>
            </w:r>
          </w:p>
        </w:tc>
        <w:tc>
          <w:tcPr>
            <w:tcW w:w="1188" w:type="pct"/>
            <w:shd w:val="clear" w:color="auto" w:fill="E2EFD9" w:themeFill="accent6" w:themeFillTint="33"/>
          </w:tcPr>
          <w:p w14:paraId="01264484" w14:textId="5DF344C7" w:rsidR="00A777D2" w:rsidRPr="00A36AC8" w:rsidRDefault="00A777D2" w:rsidP="00C67DAB">
            <w:pPr>
              <w:spacing w:after="40"/>
              <w:jc w:val="center"/>
              <w:rPr>
                <w:rFonts w:ascii="Arial" w:hAnsi="Arial" w:cs="Arial"/>
                <w:bCs/>
                <w:szCs w:val="20"/>
              </w:rPr>
            </w:pPr>
            <w:r>
              <w:rPr>
                <w:rFonts w:ascii="Arial" w:hAnsi="Arial" w:cs="Arial"/>
                <w:bCs/>
                <w:szCs w:val="20"/>
              </w:rPr>
              <w:t>L</w:t>
            </w:r>
          </w:p>
        </w:tc>
      </w:tr>
      <w:tr w:rsidR="00A777D2" w:rsidRPr="00A36AC8" w14:paraId="6C71984E" w14:textId="77777777" w:rsidTr="00A777D2">
        <w:trPr>
          <w:trHeight w:val="444"/>
        </w:trPr>
        <w:tc>
          <w:tcPr>
            <w:tcW w:w="633" w:type="pct"/>
            <w:vMerge/>
            <w:shd w:val="clear" w:color="auto" w:fill="auto"/>
          </w:tcPr>
          <w:p w14:paraId="034747A9" w14:textId="77777777" w:rsidR="00A777D2" w:rsidRPr="00A36AC8" w:rsidRDefault="00A777D2" w:rsidP="00996F4C">
            <w:pPr>
              <w:pStyle w:val="ListParagraph"/>
              <w:numPr>
                <w:ilvl w:val="0"/>
                <w:numId w:val="8"/>
              </w:numPr>
              <w:rPr>
                <w:rFonts w:ascii="Arial" w:eastAsia="Calibri" w:hAnsi="Arial" w:cs="Arial"/>
                <w:b/>
                <w:sz w:val="20"/>
                <w:szCs w:val="20"/>
              </w:rPr>
            </w:pPr>
          </w:p>
        </w:tc>
        <w:tc>
          <w:tcPr>
            <w:tcW w:w="3179" w:type="pct"/>
          </w:tcPr>
          <w:p w14:paraId="6094C8BA" w14:textId="4EC365BB" w:rsidR="00A777D2" w:rsidRPr="00A36AC8" w:rsidDel="00B25D83" w:rsidRDefault="00A777D2" w:rsidP="00AE018A">
            <w:pPr>
              <w:pStyle w:val="ListParagraph"/>
              <w:numPr>
                <w:ilvl w:val="0"/>
                <w:numId w:val="10"/>
              </w:numPr>
              <w:spacing w:line="240" w:lineRule="auto"/>
              <w:contextualSpacing w:val="0"/>
              <w:rPr>
                <w:rFonts w:ascii="Arial" w:hAnsi="Arial" w:cs="Arial"/>
                <w:sz w:val="20"/>
                <w:szCs w:val="20"/>
              </w:rPr>
            </w:pPr>
            <w:r w:rsidRPr="00A36AC8">
              <w:rPr>
                <w:rFonts w:ascii="Arial" w:hAnsi="Arial" w:cs="Arial"/>
                <w:sz w:val="20"/>
                <w:szCs w:val="20"/>
              </w:rPr>
              <w:t>Funding policy for NDIS as relates to housing is clarified</w:t>
            </w:r>
          </w:p>
        </w:tc>
        <w:tc>
          <w:tcPr>
            <w:tcW w:w="1188" w:type="pct"/>
            <w:shd w:val="clear" w:color="auto" w:fill="E2EFD9" w:themeFill="accent6" w:themeFillTint="33"/>
          </w:tcPr>
          <w:p w14:paraId="2866236D" w14:textId="58A278DB" w:rsidR="00A777D2" w:rsidRPr="00C67DAB" w:rsidRDefault="00A777D2" w:rsidP="00C67DAB">
            <w:pPr>
              <w:spacing w:after="40"/>
              <w:jc w:val="center"/>
              <w:rPr>
                <w:rFonts w:ascii="Arial" w:hAnsi="Arial" w:cs="Arial"/>
                <w:szCs w:val="20"/>
              </w:rPr>
            </w:pPr>
            <w:r w:rsidRPr="00C67DAB">
              <w:rPr>
                <w:rFonts w:ascii="Arial" w:hAnsi="Arial" w:cs="Arial"/>
                <w:szCs w:val="20"/>
              </w:rPr>
              <w:t>L</w:t>
            </w:r>
          </w:p>
        </w:tc>
      </w:tr>
    </w:tbl>
    <w:p w14:paraId="237358E9" w14:textId="4D6B597E" w:rsidR="00F10964" w:rsidRPr="00A36AC8" w:rsidRDefault="00F10964">
      <w:pPr>
        <w:widowControl/>
        <w:autoSpaceDE/>
        <w:autoSpaceDN/>
        <w:adjustRightInd/>
        <w:spacing w:after="160" w:line="259" w:lineRule="auto"/>
        <w:rPr>
          <w:rFonts w:ascii="Arial" w:hAnsi="Arial" w:cs="Arial"/>
          <w:color w:val="002060"/>
          <w:w w:val="95"/>
          <w:szCs w:val="20"/>
        </w:rPr>
      </w:pPr>
    </w:p>
    <w:tbl>
      <w:tblPr>
        <w:tblW w:w="46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57" w:type="dxa"/>
          <w:bottom w:w="57" w:type="dxa"/>
          <w:right w:w="57" w:type="dxa"/>
        </w:tblCellMar>
        <w:tblLook w:val="04A0" w:firstRow="1" w:lastRow="0" w:firstColumn="1" w:lastColumn="0" w:noHBand="0" w:noVBand="1"/>
      </w:tblPr>
      <w:tblGrid>
        <w:gridCol w:w="1686"/>
        <w:gridCol w:w="9225"/>
        <w:gridCol w:w="3400"/>
      </w:tblGrid>
      <w:tr w:rsidR="00A777D2" w:rsidRPr="00A36AC8" w14:paraId="6EDDAF53" w14:textId="77777777" w:rsidTr="00A777D2">
        <w:trPr>
          <w:tblHeader/>
        </w:trPr>
        <w:tc>
          <w:tcPr>
            <w:tcW w:w="589" w:type="pct"/>
            <w:shd w:val="clear" w:color="auto" w:fill="01215C"/>
          </w:tcPr>
          <w:p w14:paraId="398FCD47" w14:textId="77777777" w:rsidR="00A777D2" w:rsidRPr="00A36AC8" w:rsidRDefault="00A777D2" w:rsidP="00DD0FAF">
            <w:pPr>
              <w:rPr>
                <w:rFonts w:ascii="Arial" w:hAnsi="Arial" w:cs="Arial"/>
                <w:b/>
                <w:szCs w:val="20"/>
              </w:rPr>
            </w:pPr>
            <w:r w:rsidRPr="00A36AC8">
              <w:rPr>
                <w:rFonts w:ascii="Arial" w:hAnsi="Arial" w:cs="Arial"/>
                <w:b/>
                <w:szCs w:val="20"/>
              </w:rPr>
              <w:lastRenderedPageBreak/>
              <w:t xml:space="preserve">What? </w:t>
            </w:r>
          </w:p>
        </w:tc>
        <w:tc>
          <w:tcPr>
            <w:tcW w:w="3223" w:type="pct"/>
            <w:shd w:val="clear" w:color="auto" w:fill="01215C"/>
          </w:tcPr>
          <w:p w14:paraId="3B157DB6" w14:textId="1FCAA9C2" w:rsidR="00A777D2" w:rsidRPr="00A36AC8" w:rsidRDefault="00A777D2" w:rsidP="00DD0FAF">
            <w:pPr>
              <w:rPr>
                <w:rFonts w:ascii="Arial" w:hAnsi="Arial" w:cs="Arial"/>
                <w:b/>
                <w:szCs w:val="20"/>
              </w:rPr>
            </w:pPr>
            <w:r w:rsidRPr="00A36AC8">
              <w:rPr>
                <w:rFonts w:ascii="Arial" w:hAnsi="Arial" w:cs="Arial"/>
                <w:b/>
                <w:szCs w:val="20"/>
              </w:rPr>
              <w:t>Outputs and Scope of Work</w:t>
            </w:r>
          </w:p>
        </w:tc>
        <w:tc>
          <w:tcPr>
            <w:tcW w:w="1188" w:type="pct"/>
            <w:shd w:val="clear" w:color="auto" w:fill="01215C"/>
          </w:tcPr>
          <w:p w14:paraId="72CDF161" w14:textId="2805786B" w:rsidR="00A777D2" w:rsidRPr="00A36AC8" w:rsidRDefault="00A777D2" w:rsidP="00DD0FAF">
            <w:pPr>
              <w:rPr>
                <w:rFonts w:ascii="Arial" w:hAnsi="Arial" w:cs="Arial"/>
                <w:b/>
                <w:szCs w:val="20"/>
              </w:rPr>
            </w:pPr>
            <w:r>
              <w:rPr>
                <w:rFonts w:ascii="Arial" w:hAnsi="Arial" w:cs="Arial"/>
                <w:b/>
                <w:szCs w:val="20"/>
              </w:rPr>
              <w:t>Priority – Low, Medium or High</w:t>
            </w:r>
          </w:p>
        </w:tc>
      </w:tr>
      <w:tr w:rsidR="00A777D2" w:rsidRPr="00A36AC8" w14:paraId="7FA175E0" w14:textId="77777777" w:rsidTr="00A777D2">
        <w:trPr>
          <w:trHeight w:val="1059"/>
        </w:trPr>
        <w:tc>
          <w:tcPr>
            <w:tcW w:w="589" w:type="pct"/>
            <w:vMerge w:val="restart"/>
            <w:shd w:val="clear" w:color="auto" w:fill="auto"/>
          </w:tcPr>
          <w:p w14:paraId="7E0C1054" w14:textId="331F5CED" w:rsidR="00A777D2" w:rsidRPr="00A36AC8" w:rsidRDefault="00A777D2" w:rsidP="00996F4C">
            <w:pPr>
              <w:pStyle w:val="ListParagraph"/>
              <w:numPr>
                <w:ilvl w:val="0"/>
                <w:numId w:val="8"/>
              </w:numPr>
              <w:rPr>
                <w:rFonts w:ascii="Arial" w:hAnsi="Arial" w:cs="Arial"/>
                <w:b/>
                <w:sz w:val="20"/>
                <w:szCs w:val="20"/>
              </w:rPr>
            </w:pPr>
            <w:r w:rsidRPr="00A36AC8">
              <w:rPr>
                <w:rFonts w:ascii="Arial" w:eastAsia="Calibri" w:hAnsi="Arial" w:cs="Arial"/>
                <w:b/>
                <w:sz w:val="20"/>
                <w:szCs w:val="20"/>
              </w:rPr>
              <w:t>Optimise industry performance</w:t>
            </w:r>
          </w:p>
        </w:tc>
        <w:tc>
          <w:tcPr>
            <w:tcW w:w="3223" w:type="pct"/>
          </w:tcPr>
          <w:p w14:paraId="5C330E5E" w14:textId="44FDC462" w:rsidR="00A777D2" w:rsidRPr="00A36AC8" w:rsidRDefault="00A777D2" w:rsidP="001C4CE2">
            <w:pPr>
              <w:pStyle w:val="ListParagraph"/>
              <w:numPr>
                <w:ilvl w:val="0"/>
                <w:numId w:val="12"/>
              </w:numPr>
              <w:spacing w:line="240" w:lineRule="auto"/>
              <w:ind w:left="357" w:hanging="357"/>
              <w:contextualSpacing w:val="0"/>
              <w:rPr>
                <w:rFonts w:ascii="Arial" w:hAnsi="Arial" w:cs="Arial"/>
                <w:sz w:val="20"/>
                <w:szCs w:val="20"/>
              </w:rPr>
            </w:pPr>
            <w:r w:rsidRPr="00A36AC8">
              <w:rPr>
                <w:rFonts w:ascii="Arial" w:hAnsi="Arial" w:cs="Arial"/>
                <w:sz w:val="20"/>
                <w:szCs w:val="20"/>
              </w:rPr>
              <w:t xml:space="preserve">Areas of duplication or misalignment between contract and regulation obligations (including reporting obligations by CHPs and the Registrar to housing agencies) are identified and ways to reduce or eliminate them are proposed, including unnecessary red tape and compliance costs and there is increased coordination in the making of submissions to housing agencies </w:t>
            </w:r>
          </w:p>
        </w:tc>
        <w:tc>
          <w:tcPr>
            <w:tcW w:w="1188" w:type="pct"/>
            <w:shd w:val="clear" w:color="auto" w:fill="F7CAAC" w:themeFill="accent2" w:themeFillTint="66"/>
          </w:tcPr>
          <w:p w14:paraId="065BF2AA" w14:textId="6C035F58" w:rsidR="00A777D2" w:rsidRPr="00A36AC8" w:rsidRDefault="00A777D2" w:rsidP="00C67DAB">
            <w:pPr>
              <w:spacing w:after="40"/>
              <w:jc w:val="center"/>
              <w:rPr>
                <w:rFonts w:ascii="Arial" w:hAnsi="Arial" w:cs="Arial"/>
                <w:bCs/>
                <w:szCs w:val="20"/>
              </w:rPr>
            </w:pPr>
            <w:r>
              <w:rPr>
                <w:rFonts w:ascii="Arial" w:hAnsi="Arial" w:cs="Arial"/>
                <w:bCs/>
                <w:szCs w:val="20"/>
              </w:rPr>
              <w:t>H</w:t>
            </w:r>
          </w:p>
        </w:tc>
      </w:tr>
      <w:tr w:rsidR="00A777D2" w:rsidRPr="00A36AC8" w14:paraId="064598CD" w14:textId="77777777" w:rsidTr="00A777D2">
        <w:trPr>
          <w:trHeight w:val="758"/>
        </w:trPr>
        <w:tc>
          <w:tcPr>
            <w:tcW w:w="589" w:type="pct"/>
            <w:vMerge/>
            <w:shd w:val="clear" w:color="auto" w:fill="auto"/>
          </w:tcPr>
          <w:p w14:paraId="4C8EE90A" w14:textId="77777777" w:rsidR="00A777D2" w:rsidRPr="00A36AC8" w:rsidRDefault="00A777D2" w:rsidP="00996F4C">
            <w:pPr>
              <w:pStyle w:val="ListParagraph"/>
              <w:numPr>
                <w:ilvl w:val="0"/>
                <w:numId w:val="8"/>
              </w:numPr>
              <w:rPr>
                <w:rFonts w:ascii="Arial" w:eastAsia="Calibri" w:hAnsi="Arial" w:cs="Arial"/>
                <w:b/>
                <w:sz w:val="20"/>
                <w:szCs w:val="20"/>
              </w:rPr>
            </w:pPr>
          </w:p>
        </w:tc>
        <w:tc>
          <w:tcPr>
            <w:tcW w:w="3223" w:type="pct"/>
          </w:tcPr>
          <w:p w14:paraId="218EF64F" w14:textId="4551E61A" w:rsidR="00A777D2" w:rsidRPr="00A36AC8" w:rsidRDefault="00A777D2" w:rsidP="00C073C3">
            <w:pPr>
              <w:pStyle w:val="ListParagraph"/>
              <w:numPr>
                <w:ilvl w:val="0"/>
                <w:numId w:val="12"/>
              </w:numPr>
              <w:spacing w:line="240" w:lineRule="auto"/>
              <w:ind w:left="357" w:hanging="357"/>
              <w:contextualSpacing w:val="0"/>
              <w:rPr>
                <w:rFonts w:ascii="Arial" w:hAnsi="Arial" w:cs="Arial"/>
                <w:sz w:val="20"/>
                <w:szCs w:val="20"/>
              </w:rPr>
            </w:pPr>
            <w:r w:rsidRPr="00A36AC8">
              <w:rPr>
                <w:rFonts w:ascii="Arial" w:hAnsi="Arial" w:cs="Arial"/>
                <w:sz w:val="20"/>
                <w:szCs w:val="20"/>
              </w:rPr>
              <w:t>Ways for reforms in and learnings from the non-Aboriginal housing sector to be shared with the Aboriginal housing sector, and vice versa, are identified, as well as opportunities for collective action</w:t>
            </w:r>
          </w:p>
        </w:tc>
        <w:tc>
          <w:tcPr>
            <w:tcW w:w="1188" w:type="pct"/>
            <w:shd w:val="clear" w:color="auto" w:fill="D9E2F3" w:themeFill="accent5" w:themeFillTint="33"/>
          </w:tcPr>
          <w:p w14:paraId="0F43D892" w14:textId="586DA17D" w:rsidR="00A777D2" w:rsidRPr="00A36AC8" w:rsidRDefault="00A777D2" w:rsidP="00C67DAB">
            <w:pPr>
              <w:spacing w:after="40"/>
              <w:jc w:val="center"/>
              <w:rPr>
                <w:rFonts w:ascii="Arial" w:hAnsi="Arial" w:cs="Arial"/>
                <w:bCs/>
                <w:szCs w:val="20"/>
              </w:rPr>
            </w:pPr>
            <w:r>
              <w:rPr>
                <w:rFonts w:ascii="Arial" w:hAnsi="Arial" w:cs="Arial"/>
                <w:bCs/>
                <w:szCs w:val="20"/>
              </w:rPr>
              <w:t>M</w:t>
            </w:r>
          </w:p>
        </w:tc>
      </w:tr>
      <w:tr w:rsidR="00A777D2" w:rsidRPr="00A36AC8" w14:paraId="5A93613A" w14:textId="77777777" w:rsidTr="00A777D2">
        <w:trPr>
          <w:trHeight w:val="1059"/>
        </w:trPr>
        <w:tc>
          <w:tcPr>
            <w:tcW w:w="589" w:type="pct"/>
            <w:vMerge/>
            <w:shd w:val="clear" w:color="auto" w:fill="auto"/>
          </w:tcPr>
          <w:p w14:paraId="370395DD" w14:textId="77777777" w:rsidR="00A777D2" w:rsidRPr="00A36AC8" w:rsidRDefault="00A777D2" w:rsidP="00996F4C">
            <w:pPr>
              <w:pStyle w:val="ListParagraph"/>
              <w:numPr>
                <w:ilvl w:val="0"/>
                <w:numId w:val="8"/>
              </w:numPr>
              <w:rPr>
                <w:rFonts w:ascii="Arial" w:eastAsia="Calibri" w:hAnsi="Arial" w:cs="Arial"/>
                <w:b/>
                <w:sz w:val="20"/>
                <w:szCs w:val="20"/>
              </w:rPr>
            </w:pPr>
          </w:p>
        </w:tc>
        <w:tc>
          <w:tcPr>
            <w:tcW w:w="3223" w:type="pct"/>
          </w:tcPr>
          <w:p w14:paraId="1F990B44" w14:textId="6C2109FD" w:rsidR="00A777D2" w:rsidRPr="00A36AC8" w:rsidRDefault="00A777D2" w:rsidP="00646D7A">
            <w:pPr>
              <w:pStyle w:val="ListParagraph"/>
              <w:numPr>
                <w:ilvl w:val="0"/>
                <w:numId w:val="12"/>
              </w:numPr>
              <w:spacing w:line="240" w:lineRule="auto"/>
              <w:ind w:left="357" w:hanging="357"/>
              <w:contextualSpacing w:val="0"/>
              <w:rPr>
                <w:rFonts w:ascii="Arial" w:hAnsi="Arial" w:cs="Arial"/>
                <w:sz w:val="20"/>
                <w:szCs w:val="20"/>
              </w:rPr>
            </w:pPr>
            <w:r w:rsidRPr="00A36AC8">
              <w:rPr>
                <w:rFonts w:ascii="Arial" w:hAnsi="Arial" w:cs="Arial"/>
                <w:sz w:val="20"/>
                <w:szCs w:val="20"/>
              </w:rPr>
              <w:t>Ways for sharing reforms and learnings between DCJ,  LAHC and AHO are identified, as well as opportunities for harmonising or standardising processes, identifying pilot program opportunities and opportunities to scale successful pilot programs</w:t>
            </w:r>
          </w:p>
        </w:tc>
        <w:tc>
          <w:tcPr>
            <w:tcW w:w="1188" w:type="pct"/>
            <w:shd w:val="clear" w:color="auto" w:fill="D9E2F3" w:themeFill="accent5" w:themeFillTint="33"/>
          </w:tcPr>
          <w:p w14:paraId="51A769AB" w14:textId="00D90F42" w:rsidR="00A777D2" w:rsidRPr="00A36AC8" w:rsidRDefault="00A777D2" w:rsidP="00C67DAB">
            <w:pPr>
              <w:spacing w:after="40"/>
              <w:jc w:val="center"/>
              <w:rPr>
                <w:rFonts w:ascii="Arial" w:hAnsi="Arial" w:cs="Arial"/>
                <w:bCs/>
                <w:szCs w:val="20"/>
              </w:rPr>
            </w:pPr>
            <w:r>
              <w:rPr>
                <w:rFonts w:ascii="Arial" w:hAnsi="Arial" w:cs="Arial"/>
                <w:bCs/>
                <w:szCs w:val="20"/>
              </w:rPr>
              <w:t>M</w:t>
            </w:r>
          </w:p>
        </w:tc>
      </w:tr>
      <w:tr w:rsidR="00A777D2" w:rsidRPr="00A36AC8" w14:paraId="41D19FDF" w14:textId="77777777" w:rsidTr="00A777D2">
        <w:trPr>
          <w:trHeight w:val="1059"/>
        </w:trPr>
        <w:tc>
          <w:tcPr>
            <w:tcW w:w="589" w:type="pct"/>
            <w:vMerge/>
            <w:shd w:val="clear" w:color="auto" w:fill="auto"/>
          </w:tcPr>
          <w:p w14:paraId="6305C3B6" w14:textId="77777777" w:rsidR="00A777D2" w:rsidRPr="00A36AC8" w:rsidRDefault="00A777D2" w:rsidP="00996F4C">
            <w:pPr>
              <w:pStyle w:val="ListParagraph"/>
              <w:numPr>
                <w:ilvl w:val="0"/>
                <w:numId w:val="8"/>
              </w:numPr>
              <w:rPr>
                <w:rFonts w:ascii="Arial" w:eastAsia="Calibri" w:hAnsi="Arial" w:cs="Arial"/>
                <w:b/>
                <w:sz w:val="20"/>
                <w:szCs w:val="20"/>
              </w:rPr>
            </w:pPr>
          </w:p>
        </w:tc>
        <w:tc>
          <w:tcPr>
            <w:tcW w:w="3223" w:type="pct"/>
          </w:tcPr>
          <w:p w14:paraId="6F320E8E" w14:textId="21879A3D" w:rsidR="00A777D2" w:rsidRPr="00A36AC8" w:rsidRDefault="00A777D2">
            <w:pPr>
              <w:pStyle w:val="ListParagraph"/>
              <w:numPr>
                <w:ilvl w:val="0"/>
                <w:numId w:val="12"/>
              </w:numPr>
              <w:spacing w:line="240" w:lineRule="auto"/>
              <w:ind w:left="357" w:hanging="357"/>
              <w:contextualSpacing w:val="0"/>
              <w:rPr>
                <w:rFonts w:ascii="Arial" w:hAnsi="Arial" w:cs="Arial"/>
                <w:sz w:val="20"/>
                <w:szCs w:val="20"/>
              </w:rPr>
            </w:pPr>
            <w:r w:rsidRPr="00A36AC8">
              <w:rPr>
                <w:rFonts w:ascii="Arial" w:hAnsi="Arial" w:cs="Arial"/>
                <w:sz w:val="20"/>
                <w:szCs w:val="20"/>
              </w:rPr>
              <w:t>Current data capture and data sharing mechanisms in the sector are identified, including how this can be enhanced</w:t>
            </w:r>
          </w:p>
        </w:tc>
        <w:tc>
          <w:tcPr>
            <w:tcW w:w="1188" w:type="pct"/>
            <w:shd w:val="clear" w:color="auto" w:fill="F7CAAC" w:themeFill="accent2" w:themeFillTint="66"/>
          </w:tcPr>
          <w:p w14:paraId="3DC40AC0" w14:textId="222AF819" w:rsidR="00A777D2" w:rsidRPr="00A36AC8" w:rsidRDefault="00A777D2" w:rsidP="00C67DAB">
            <w:pPr>
              <w:spacing w:after="40"/>
              <w:jc w:val="center"/>
              <w:rPr>
                <w:rFonts w:ascii="Arial" w:hAnsi="Arial" w:cs="Arial"/>
                <w:szCs w:val="20"/>
              </w:rPr>
            </w:pPr>
            <w:r>
              <w:rPr>
                <w:rFonts w:ascii="Arial" w:hAnsi="Arial" w:cs="Arial"/>
                <w:szCs w:val="20"/>
              </w:rPr>
              <w:t>H</w:t>
            </w:r>
          </w:p>
        </w:tc>
      </w:tr>
      <w:tr w:rsidR="00A777D2" w:rsidRPr="00A36AC8" w14:paraId="2619CE66" w14:textId="77777777" w:rsidTr="00A777D2">
        <w:trPr>
          <w:trHeight w:val="1059"/>
        </w:trPr>
        <w:tc>
          <w:tcPr>
            <w:tcW w:w="589" w:type="pct"/>
            <w:vMerge/>
            <w:shd w:val="clear" w:color="auto" w:fill="auto"/>
          </w:tcPr>
          <w:p w14:paraId="21EF0634" w14:textId="77777777" w:rsidR="00A777D2" w:rsidRPr="00A36AC8" w:rsidRDefault="00A777D2" w:rsidP="00996F4C">
            <w:pPr>
              <w:pStyle w:val="ListParagraph"/>
              <w:numPr>
                <w:ilvl w:val="0"/>
                <w:numId w:val="8"/>
              </w:numPr>
              <w:rPr>
                <w:rFonts w:ascii="Arial" w:eastAsia="Calibri" w:hAnsi="Arial" w:cs="Arial"/>
                <w:b/>
                <w:sz w:val="20"/>
                <w:szCs w:val="20"/>
              </w:rPr>
            </w:pPr>
          </w:p>
        </w:tc>
        <w:tc>
          <w:tcPr>
            <w:tcW w:w="3223" w:type="pct"/>
          </w:tcPr>
          <w:p w14:paraId="69CDCAB6" w14:textId="6A34E07D" w:rsidR="00A777D2" w:rsidRPr="00A36AC8" w:rsidRDefault="00A777D2" w:rsidP="002E76E6">
            <w:pPr>
              <w:pStyle w:val="ListParagraph"/>
              <w:numPr>
                <w:ilvl w:val="0"/>
                <w:numId w:val="12"/>
              </w:numPr>
              <w:spacing w:line="240" w:lineRule="auto"/>
              <w:ind w:left="357" w:hanging="357"/>
              <w:contextualSpacing w:val="0"/>
              <w:rPr>
                <w:rFonts w:ascii="Arial" w:hAnsi="Arial" w:cs="Arial"/>
                <w:sz w:val="20"/>
                <w:szCs w:val="20"/>
              </w:rPr>
            </w:pPr>
            <w:r w:rsidRPr="00A36AC8">
              <w:rPr>
                <w:rFonts w:ascii="Arial" w:hAnsi="Arial" w:cs="Arial"/>
                <w:sz w:val="20"/>
                <w:szCs w:val="20"/>
              </w:rPr>
              <w:t>Ways to enhance resilience, cultural change, lessons learnt and proactive mitigation of risks, losses and hardship from natural disasters and pandemics are identified</w:t>
            </w:r>
          </w:p>
        </w:tc>
        <w:tc>
          <w:tcPr>
            <w:tcW w:w="1188" w:type="pct"/>
            <w:shd w:val="clear" w:color="auto" w:fill="D9E2F3" w:themeFill="accent5" w:themeFillTint="33"/>
          </w:tcPr>
          <w:p w14:paraId="565DF8B5" w14:textId="657C957F" w:rsidR="00A777D2" w:rsidRPr="00A36AC8" w:rsidRDefault="00A777D2" w:rsidP="00C67DAB">
            <w:pPr>
              <w:spacing w:after="40"/>
              <w:jc w:val="center"/>
              <w:rPr>
                <w:rFonts w:ascii="Arial" w:hAnsi="Arial" w:cs="Arial"/>
                <w:bCs/>
                <w:szCs w:val="20"/>
              </w:rPr>
            </w:pPr>
            <w:r>
              <w:rPr>
                <w:rFonts w:ascii="Arial" w:hAnsi="Arial" w:cs="Arial"/>
                <w:bCs/>
                <w:szCs w:val="20"/>
              </w:rPr>
              <w:t>M</w:t>
            </w:r>
          </w:p>
        </w:tc>
      </w:tr>
    </w:tbl>
    <w:p w14:paraId="7C56AC2C" w14:textId="222B0CDC" w:rsidR="00860083" w:rsidRPr="00A36AC8" w:rsidRDefault="00860083" w:rsidP="00860083">
      <w:pPr>
        <w:rPr>
          <w:rFonts w:ascii="Arial" w:hAnsi="Arial" w:cs="Arial"/>
          <w:color w:val="000000"/>
          <w:spacing w:val="-4"/>
          <w:szCs w:val="20"/>
        </w:rPr>
      </w:pPr>
    </w:p>
    <w:p w14:paraId="2418105E" w14:textId="4532B29E" w:rsidR="00860083" w:rsidRPr="00A36AC8" w:rsidRDefault="00860083" w:rsidP="00860083">
      <w:pPr>
        <w:widowControl/>
        <w:autoSpaceDE/>
        <w:autoSpaceDN/>
        <w:adjustRightInd/>
        <w:spacing w:after="160" w:line="259" w:lineRule="auto"/>
        <w:rPr>
          <w:rFonts w:ascii="Arial" w:hAnsi="Arial" w:cs="Arial"/>
          <w:color w:val="000000"/>
          <w:spacing w:val="-4"/>
          <w:szCs w:val="20"/>
        </w:rPr>
      </w:pPr>
      <w:r w:rsidRPr="00A36AC8">
        <w:rPr>
          <w:rFonts w:ascii="Arial" w:hAnsi="Arial" w:cs="Arial"/>
          <w:color w:val="000000"/>
          <w:spacing w:val="-4"/>
          <w:szCs w:val="20"/>
        </w:rPr>
        <w:br w:type="page"/>
      </w:r>
    </w:p>
    <w:p w14:paraId="4A5E1873" w14:textId="70DF0D59" w:rsidR="00DF370C" w:rsidRPr="00A36AC8" w:rsidRDefault="005C15E8" w:rsidP="004E4025">
      <w:pPr>
        <w:kinsoku w:val="0"/>
        <w:overflowPunct w:val="0"/>
        <w:autoSpaceDE/>
        <w:autoSpaceDN/>
        <w:adjustRightInd/>
        <w:spacing w:before="101" w:line="509" w:lineRule="exact"/>
        <w:textAlignment w:val="baseline"/>
        <w:rPr>
          <w:rFonts w:ascii="Arial" w:hAnsi="Arial" w:cs="Arial"/>
          <w:b/>
          <w:spacing w:val="-4"/>
          <w:sz w:val="22"/>
          <w:szCs w:val="22"/>
        </w:rPr>
      </w:pPr>
      <w:r w:rsidRPr="00A36AC8">
        <w:rPr>
          <w:rFonts w:ascii="Arial" w:hAnsi="Arial" w:cs="Arial"/>
          <w:b/>
          <w:w w:val="95"/>
          <w:sz w:val="22"/>
          <w:szCs w:val="22"/>
        </w:rPr>
        <w:lastRenderedPageBreak/>
        <w:t xml:space="preserve">NSW Community Housing Industry Council – </w:t>
      </w:r>
      <w:r w:rsidR="00CD1A06" w:rsidRPr="00A36AC8">
        <w:rPr>
          <w:rFonts w:ascii="Arial" w:hAnsi="Arial" w:cs="Arial"/>
          <w:b/>
          <w:w w:val="95"/>
          <w:sz w:val="22"/>
          <w:szCs w:val="22"/>
        </w:rPr>
        <w:t xml:space="preserve">Work </w:t>
      </w:r>
      <w:r w:rsidR="004E4025" w:rsidRPr="00A36AC8">
        <w:rPr>
          <w:rFonts w:ascii="Arial" w:hAnsi="Arial" w:cs="Arial"/>
          <w:b/>
          <w:w w:val="95"/>
          <w:sz w:val="22"/>
          <w:szCs w:val="22"/>
        </w:rPr>
        <w:t>Plan</w:t>
      </w:r>
      <w:r w:rsidR="001C4CE2" w:rsidRPr="00A36AC8">
        <w:rPr>
          <w:rFonts w:ascii="Arial" w:hAnsi="Arial" w:cs="Arial"/>
          <w:b/>
          <w:w w:val="95"/>
          <w:sz w:val="22"/>
          <w:szCs w:val="22"/>
        </w:rPr>
        <w:t xml:space="preserve"> 2022-24 </w:t>
      </w:r>
      <w:r w:rsidRPr="00A36AC8">
        <w:rPr>
          <w:rFonts w:ascii="Arial" w:hAnsi="Arial" w:cs="Arial"/>
          <w:b/>
          <w:w w:val="95"/>
          <w:sz w:val="22"/>
          <w:szCs w:val="22"/>
        </w:rPr>
        <w:t>re</w:t>
      </w:r>
      <w:r w:rsidR="00DF370C" w:rsidRPr="00A36AC8">
        <w:rPr>
          <w:rFonts w:ascii="Arial" w:hAnsi="Arial" w:cs="Arial"/>
          <w:b/>
          <w:spacing w:val="-4"/>
          <w:sz w:val="22"/>
          <w:szCs w:val="22"/>
        </w:rPr>
        <w:t>view</w:t>
      </w:r>
    </w:p>
    <w:p w14:paraId="2CD232FB" w14:textId="5A8A1404" w:rsidR="004E4025" w:rsidRPr="00A36AC8" w:rsidRDefault="009B13DD" w:rsidP="004E4025">
      <w:pPr>
        <w:kinsoku w:val="0"/>
        <w:overflowPunct w:val="0"/>
        <w:autoSpaceDE/>
        <w:autoSpaceDN/>
        <w:adjustRightInd/>
        <w:spacing w:before="101" w:line="509" w:lineRule="exact"/>
        <w:textAlignment w:val="baseline"/>
        <w:rPr>
          <w:rFonts w:ascii="Arial" w:hAnsi="Arial" w:cs="Arial"/>
          <w:szCs w:val="20"/>
        </w:rPr>
      </w:pPr>
      <w:r w:rsidRPr="00A36AC8">
        <w:rPr>
          <w:rFonts w:ascii="Arial" w:hAnsi="Arial" w:cs="Arial"/>
          <w:color w:val="000000"/>
          <w:spacing w:val="-4"/>
          <w:szCs w:val="20"/>
        </w:rPr>
        <w:t xml:space="preserve">This </w:t>
      </w:r>
      <w:r w:rsidR="00CD1A06" w:rsidRPr="00A36AC8">
        <w:rPr>
          <w:rFonts w:ascii="Arial" w:hAnsi="Arial" w:cs="Arial"/>
          <w:color w:val="000000"/>
          <w:spacing w:val="-4"/>
          <w:szCs w:val="20"/>
        </w:rPr>
        <w:t>Work</w:t>
      </w:r>
      <w:r w:rsidR="004E4025" w:rsidRPr="00A36AC8">
        <w:rPr>
          <w:rFonts w:ascii="Arial" w:hAnsi="Arial" w:cs="Arial"/>
          <w:color w:val="000000"/>
          <w:spacing w:val="-4"/>
          <w:szCs w:val="20"/>
        </w:rPr>
        <w:t xml:space="preserve"> P</w:t>
      </w:r>
      <w:r w:rsidRPr="00A36AC8">
        <w:rPr>
          <w:rFonts w:ascii="Arial" w:hAnsi="Arial" w:cs="Arial"/>
          <w:color w:val="000000"/>
          <w:spacing w:val="-4"/>
          <w:szCs w:val="20"/>
        </w:rPr>
        <w:t>lan will be subject to review in the third quarter of the 202</w:t>
      </w:r>
      <w:r w:rsidR="00A36AC8" w:rsidRPr="00A36AC8">
        <w:rPr>
          <w:rFonts w:ascii="Arial" w:hAnsi="Arial" w:cs="Arial"/>
          <w:color w:val="000000"/>
          <w:spacing w:val="-4"/>
          <w:szCs w:val="20"/>
        </w:rPr>
        <w:t>3</w:t>
      </w:r>
      <w:r w:rsidRPr="00A36AC8">
        <w:rPr>
          <w:rFonts w:ascii="Arial" w:hAnsi="Arial" w:cs="Arial"/>
          <w:color w:val="000000"/>
          <w:spacing w:val="-4"/>
          <w:szCs w:val="20"/>
        </w:rPr>
        <w:t>-</w:t>
      </w:r>
      <w:r w:rsidR="00A36AC8" w:rsidRPr="00A36AC8">
        <w:rPr>
          <w:rFonts w:ascii="Arial" w:hAnsi="Arial" w:cs="Arial"/>
          <w:color w:val="000000"/>
          <w:spacing w:val="-4"/>
          <w:szCs w:val="20"/>
        </w:rPr>
        <w:t xml:space="preserve">2024 </w:t>
      </w:r>
      <w:r w:rsidRPr="00A36AC8">
        <w:rPr>
          <w:rFonts w:ascii="Arial" w:hAnsi="Arial" w:cs="Arial"/>
          <w:color w:val="000000"/>
          <w:spacing w:val="-4"/>
          <w:szCs w:val="20"/>
        </w:rPr>
        <w:t>financial year.</w:t>
      </w:r>
    </w:p>
    <w:p w14:paraId="264E2862" w14:textId="15BAAD7E" w:rsidR="004E4025" w:rsidRPr="00A36AC8" w:rsidRDefault="004E4025" w:rsidP="004E4025">
      <w:pPr>
        <w:kinsoku w:val="0"/>
        <w:overflowPunct w:val="0"/>
        <w:autoSpaceDE/>
        <w:autoSpaceDN/>
        <w:adjustRightInd/>
        <w:spacing w:before="101" w:line="509" w:lineRule="exact"/>
        <w:textAlignment w:val="baseline"/>
        <w:rPr>
          <w:rFonts w:ascii="Arial" w:hAnsi="Arial" w:cs="Arial"/>
          <w:szCs w:val="20"/>
        </w:rPr>
      </w:pPr>
    </w:p>
    <w:p w14:paraId="359E76A4" w14:textId="77777777" w:rsidR="004E4025" w:rsidRPr="00A36AC8" w:rsidRDefault="004E4025" w:rsidP="004E4025">
      <w:pPr>
        <w:kinsoku w:val="0"/>
        <w:overflowPunct w:val="0"/>
        <w:autoSpaceDE/>
        <w:autoSpaceDN/>
        <w:adjustRightInd/>
        <w:spacing w:before="101" w:line="509" w:lineRule="exact"/>
        <w:textAlignment w:val="baseline"/>
        <w:rPr>
          <w:rFonts w:ascii="Arial" w:hAnsi="Arial" w:cs="Arial"/>
          <w:szCs w:val="20"/>
        </w:rPr>
      </w:pPr>
    </w:p>
    <w:p w14:paraId="30335349" w14:textId="592807FB" w:rsidR="00DF370C" w:rsidRPr="00A36AC8" w:rsidRDefault="00C91FE7" w:rsidP="004E4025">
      <w:pPr>
        <w:kinsoku w:val="0"/>
        <w:overflowPunct w:val="0"/>
        <w:autoSpaceDE/>
        <w:autoSpaceDN/>
        <w:adjustRightInd/>
        <w:spacing w:before="101" w:line="509" w:lineRule="exact"/>
        <w:textAlignment w:val="baseline"/>
        <w:rPr>
          <w:rFonts w:ascii="Arial" w:hAnsi="Arial" w:cs="Arial"/>
          <w:b/>
          <w:w w:val="95"/>
          <w:sz w:val="22"/>
          <w:szCs w:val="22"/>
        </w:rPr>
      </w:pPr>
      <w:r w:rsidRPr="00A36AC8">
        <w:rPr>
          <w:rFonts w:ascii="Arial" w:hAnsi="Arial" w:cs="Arial"/>
          <w:b/>
          <w:w w:val="95"/>
          <w:sz w:val="22"/>
          <w:szCs w:val="22"/>
        </w:rPr>
        <w:t xml:space="preserve">NSW Community Housing Industry Council – </w:t>
      </w:r>
      <w:r w:rsidR="00CD1A06" w:rsidRPr="00A36AC8">
        <w:rPr>
          <w:rFonts w:ascii="Arial" w:hAnsi="Arial" w:cs="Arial"/>
          <w:b/>
          <w:w w:val="95"/>
          <w:sz w:val="22"/>
          <w:szCs w:val="22"/>
        </w:rPr>
        <w:t xml:space="preserve">Work </w:t>
      </w:r>
      <w:r w:rsidRPr="00A36AC8">
        <w:rPr>
          <w:rFonts w:ascii="Arial" w:hAnsi="Arial" w:cs="Arial"/>
          <w:b/>
          <w:w w:val="95"/>
          <w:sz w:val="22"/>
          <w:szCs w:val="22"/>
        </w:rPr>
        <w:t>Plan endorseme</w:t>
      </w:r>
      <w:r w:rsidR="004E4025" w:rsidRPr="00A36AC8">
        <w:rPr>
          <w:rFonts w:ascii="Arial" w:hAnsi="Arial" w:cs="Arial"/>
          <w:b/>
          <w:w w:val="95"/>
          <w:sz w:val="22"/>
          <w:szCs w:val="22"/>
        </w:rPr>
        <w:t>nt</w:t>
      </w:r>
    </w:p>
    <w:p w14:paraId="3DA3E6D7" w14:textId="1A665D35" w:rsidR="003D0739" w:rsidRPr="00A36AC8" w:rsidRDefault="003D0739" w:rsidP="003D0739">
      <w:pPr>
        <w:spacing w:before="160" w:after="160" w:line="290" w:lineRule="exact"/>
        <w:rPr>
          <w:rFonts w:ascii="Arial" w:hAnsi="Arial" w:cs="Arial"/>
          <w:color w:val="000000"/>
          <w:szCs w:val="20"/>
        </w:rPr>
      </w:pPr>
      <w:r w:rsidRPr="00A36AC8">
        <w:rPr>
          <w:rFonts w:ascii="Arial" w:hAnsi="Arial" w:cs="Arial"/>
          <w:color w:val="000000"/>
          <w:szCs w:val="20"/>
        </w:rPr>
        <w:t xml:space="preserve">The </w:t>
      </w:r>
      <w:r w:rsidR="00260B55" w:rsidRPr="00A36AC8">
        <w:rPr>
          <w:rFonts w:ascii="Arial" w:hAnsi="Arial" w:cs="Arial"/>
          <w:color w:val="000000"/>
          <w:szCs w:val="20"/>
        </w:rPr>
        <w:t xml:space="preserve">NSW Community Housing Industry Council – </w:t>
      </w:r>
      <w:r w:rsidR="00CD1A06" w:rsidRPr="00A36AC8">
        <w:rPr>
          <w:rFonts w:ascii="Arial" w:hAnsi="Arial" w:cs="Arial"/>
          <w:color w:val="000000"/>
          <w:szCs w:val="20"/>
        </w:rPr>
        <w:t xml:space="preserve">Work </w:t>
      </w:r>
      <w:r w:rsidR="00260B55" w:rsidRPr="00A36AC8">
        <w:rPr>
          <w:rFonts w:ascii="Arial" w:hAnsi="Arial" w:cs="Arial"/>
          <w:color w:val="000000"/>
          <w:szCs w:val="20"/>
        </w:rPr>
        <w:t>Plan</w:t>
      </w:r>
      <w:r w:rsidR="004E4025" w:rsidRPr="00A36AC8">
        <w:rPr>
          <w:rFonts w:ascii="Arial" w:hAnsi="Arial" w:cs="Arial"/>
          <w:color w:val="000000"/>
          <w:szCs w:val="20"/>
        </w:rPr>
        <w:t xml:space="preserve"> </w:t>
      </w:r>
      <w:r w:rsidR="001C4CE2" w:rsidRPr="00A36AC8">
        <w:rPr>
          <w:rFonts w:ascii="Arial" w:hAnsi="Arial" w:cs="Arial"/>
          <w:color w:val="000000"/>
          <w:szCs w:val="20"/>
        </w:rPr>
        <w:t>2022-24</w:t>
      </w:r>
      <w:r w:rsidR="00260B55" w:rsidRPr="00A36AC8">
        <w:rPr>
          <w:rFonts w:ascii="Arial" w:hAnsi="Arial" w:cs="Arial"/>
          <w:color w:val="000000"/>
          <w:szCs w:val="20"/>
        </w:rPr>
        <w:t xml:space="preserve"> </w:t>
      </w:r>
      <w:r w:rsidRPr="00A36AC8">
        <w:rPr>
          <w:rFonts w:ascii="Arial" w:hAnsi="Arial" w:cs="Arial"/>
          <w:color w:val="000000"/>
          <w:szCs w:val="20"/>
        </w:rPr>
        <w:t xml:space="preserve">has been endorsed and approved by: </w:t>
      </w:r>
    </w:p>
    <w:p w14:paraId="0D19265F" w14:textId="6B83CA39" w:rsidR="004E4025" w:rsidRPr="00A36AC8" w:rsidRDefault="0068663D" w:rsidP="003D0739">
      <w:pPr>
        <w:spacing w:before="160" w:after="160" w:line="290" w:lineRule="exact"/>
        <w:rPr>
          <w:rFonts w:ascii="Arial" w:hAnsi="Arial" w:cs="Arial"/>
          <w:color w:val="000000"/>
          <w:szCs w:val="20"/>
        </w:rPr>
      </w:pPr>
      <w:r>
        <w:rPr>
          <w:rFonts w:ascii="Arial" w:hAnsi="Arial" w:cs="Arial"/>
          <w:color w:val="000000"/>
          <w:szCs w:val="20"/>
        </w:rPr>
        <w:t>Signed</w:t>
      </w:r>
      <w:bookmarkStart w:id="0" w:name="_GoBack"/>
      <w:bookmarkEnd w:id="0"/>
    </w:p>
    <w:tbl>
      <w:tblPr>
        <w:tblW w:w="4888" w:type="dxa"/>
        <w:tblLook w:val="0000" w:firstRow="0" w:lastRow="0" w:firstColumn="0" w:lastColumn="0" w:noHBand="0" w:noVBand="0"/>
      </w:tblPr>
      <w:tblGrid>
        <w:gridCol w:w="4888"/>
      </w:tblGrid>
      <w:tr w:rsidR="007F5B2B" w:rsidRPr="00A36AC8" w14:paraId="40E9C548" w14:textId="77777777" w:rsidTr="007F5B2B">
        <w:tc>
          <w:tcPr>
            <w:tcW w:w="4888" w:type="dxa"/>
          </w:tcPr>
          <w:p w14:paraId="53DB89FD" w14:textId="77777777" w:rsidR="007F5B2B" w:rsidRPr="00A36AC8" w:rsidRDefault="007F5B2B" w:rsidP="00884D82">
            <w:pPr>
              <w:spacing w:before="160" w:after="160" w:line="290" w:lineRule="exact"/>
              <w:rPr>
                <w:rFonts w:ascii="Arial" w:hAnsi="Arial" w:cs="Arial"/>
                <w:color w:val="000000"/>
                <w:szCs w:val="20"/>
              </w:rPr>
            </w:pPr>
            <w:r w:rsidRPr="00A36AC8">
              <w:rPr>
                <w:rFonts w:ascii="Arial" w:hAnsi="Arial" w:cs="Arial"/>
                <w:color w:val="000000"/>
                <w:szCs w:val="20"/>
              </w:rPr>
              <w:t>___________________________________</w:t>
            </w:r>
          </w:p>
          <w:p w14:paraId="42C0FF32" w14:textId="5C4C0B1E" w:rsidR="006D4B6A" w:rsidRPr="00A36AC8" w:rsidRDefault="00DF370C" w:rsidP="00884D82">
            <w:pPr>
              <w:spacing w:before="160" w:after="160" w:line="290" w:lineRule="exact"/>
              <w:rPr>
                <w:rFonts w:ascii="Arial" w:hAnsi="Arial" w:cs="Arial"/>
                <w:color w:val="000000"/>
                <w:szCs w:val="20"/>
              </w:rPr>
            </w:pPr>
            <w:r w:rsidRPr="00A36AC8">
              <w:rPr>
                <w:rFonts w:ascii="Arial" w:hAnsi="Arial" w:cs="Arial"/>
                <w:szCs w:val="20"/>
              </w:rPr>
              <w:t>Michael Tidball</w:t>
            </w:r>
            <w:r w:rsidR="00435AC6" w:rsidRPr="00A36AC8">
              <w:rPr>
                <w:rFonts w:ascii="Arial" w:hAnsi="Arial" w:cs="Arial"/>
                <w:color w:val="000000"/>
                <w:szCs w:val="20"/>
              </w:rPr>
              <w:br/>
            </w:r>
            <w:r w:rsidR="007F5B2B" w:rsidRPr="00A36AC8">
              <w:rPr>
                <w:rFonts w:ascii="Arial" w:hAnsi="Arial" w:cs="Arial"/>
                <w:b/>
                <w:color w:val="000000"/>
                <w:szCs w:val="20"/>
              </w:rPr>
              <w:t>Secretary</w:t>
            </w:r>
            <w:r w:rsidR="00435AC6" w:rsidRPr="00A36AC8">
              <w:rPr>
                <w:rFonts w:ascii="Arial" w:hAnsi="Arial" w:cs="Arial"/>
                <w:color w:val="000000"/>
                <w:szCs w:val="20"/>
              </w:rPr>
              <w:br/>
            </w:r>
            <w:r w:rsidR="006D4B6A" w:rsidRPr="00A36AC8">
              <w:rPr>
                <w:rFonts w:ascii="Arial" w:hAnsi="Arial" w:cs="Arial"/>
                <w:color w:val="000000"/>
                <w:szCs w:val="20"/>
              </w:rPr>
              <w:t>Department of Communities and Justice</w:t>
            </w:r>
          </w:p>
          <w:p w14:paraId="748A9FEA" w14:textId="39042168" w:rsidR="007F5B2B" w:rsidRPr="00A36AC8" w:rsidRDefault="006D4B6A" w:rsidP="00884D82">
            <w:pPr>
              <w:spacing w:before="160" w:after="160" w:line="290" w:lineRule="exact"/>
              <w:rPr>
                <w:rFonts w:ascii="Arial" w:hAnsi="Arial" w:cs="Arial"/>
                <w:color w:val="000000"/>
                <w:szCs w:val="20"/>
              </w:rPr>
            </w:pPr>
            <w:r w:rsidRPr="00A36AC8">
              <w:rPr>
                <w:rFonts w:ascii="Arial" w:hAnsi="Arial" w:cs="Arial"/>
                <w:color w:val="000000"/>
                <w:szCs w:val="20"/>
              </w:rPr>
              <w:t xml:space="preserve">Date </w:t>
            </w:r>
            <w:r w:rsidR="007F5B2B" w:rsidRPr="00A36AC8">
              <w:rPr>
                <w:rFonts w:ascii="Arial" w:hAnsi="Arial" w:cs="Arial"/>
                <w:color w:val="000000"/>
                <w:szCs w:val="20"/>
              </w:rPr>
              <w:t xml:space="preserve">Approved: </w:t>
            </w:r>
            <w:r w:rsidR="0068663D">
              <w:rPr>
                <w:rFonts w:ascii="Arial" w:hAnsi="Arial" w:cs="Arial"/>
                <w:color w:val="000000"/>
                <w:szCs w:val="20"/>
              </w:rPr>
              <w:t>26 July 2022</w:t>
            </w:r>
          </w:p>
          <w:p w14:paraId="0525C228" w14:textId="77777777" w:rsidR="007F5B2B" w:rsidRPr="00A36AC8" w:rsidRDefault="007F5B2B" w:rsidP="00884D82">
            <w:pPr>
              <w:spacing w:before="160" w:after="160" w:line="290" w:lineRule="exact"/>
              <w:rPr>
                <w:rFonts w:ascii="Arial" w:hAnsi="Arial" w:cs="Arial"/>
                <w:color w:val="000000"/>
                <w:szCs w:val="20"/>
              </w:rPr>
            </w:pPr>
          </w:p>
        </w:tc>
      </w:tr>
    </w:tbl>
    <w:p w14:paraId="40BDA1C0" w14:textId="77777777" w:rsidR="00C91FE7" w:rsidRPr="00A36AC8" w:rsidRDefault="00C91FE7">
      <w:pPr>
        <w:rPr>
          <w:rFonts w:ascii="Arial" w:hAnsi="Arial" w:cs="Arial"/>
          <w:color w:val="000000"/>
          <w:spacing w:val="-4"/>
          <w:szCs w:val="20"/>
        </w:rPr>
      </w:pPr>
    </w:p>
    <w:sectPr w:rsidR="00C91FE7" w:rsidRPr="00A36AC8" w:rsidSect="008A68EB">
      <w:headerReference w:type="even" r:id="rId14"/>
      <w:headerReference w:type="default" r:id="rId15"/>
      <w:footerReference w:type="default" r:id="rId16"/>
      <w:headerReference w:type="first" r:id="rId17"/>
      <w:pgSz w:w="16838" w:h="11906" w:orient="landscape" w:code="9"/>
      <w:pgMar w:top="720" w:right="720" w:bottom="720" w:left="720" w:header="567" w:footer="567" w:gutter="0"/>
      <w:pgNumType w:start="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CFDC" w16cex:dateUtc="2022-05-18T0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0033AF" w16cid:durableId="2630CF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8FCB8" w14:textId="77777777" w:rsidR="00D924B4" w:rsidRDefault="00D924B4" w:rsidP="006D35A0">
      <w:r>
        <w:separator/>
      </w:r>
    </w:p>
  </w:endnote>
  <w:endnote w:type="continuationSeparator" w:id="0">
    <w:p w14:paraId="65144EDE" w14:textId="77777777" w:rsidR="00D924B4" w:rsidRDefault="00D924B4" w:rsidP="006D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0"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7E255" w14:textId="77777777" w:rsidR="00545CF6" w:rsidRDefault="00545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862936"/>
      <w:docPartObj>
        <w:docPartGallery w:val="Page Numbers (Bottom of Page)"/>
        <w:docPartUnique/>
      </w:docPartObj>
    </w:sdtPr>
    <w:sdtEndPr>
      <w:rPr>
        <w:noProof/>
      </w:rPr>
    </w:sdtEndPr>
    <w:sdtContent>
      <w:p w14:paraId="0588BF8A" w14:textId="4903E997" w:rsidR="00860083" w:rsidRDefault="00F870DE" w:rsidP="00F870DE">
        <w:pPr>
          <w:pStyle w:val="Footer"/>
        </w:pPr>
        <w:r w:rsidRPr="00CA45F3">
          <w:rPr>
            <w:rFonts w:ascii="Tahoma" w:hAnsi="Tahoma" w:cs="Tahoma"/>
            <w:color w:val="2F5496" w:themeColor="accent5" w:themeShade="BF"/>
            <w:sz w:val="16"/>
            <w:szCs w:val="16"/>
          </w:rPr>
          <w:t>Community Housing Industry Council</w:t>
        </w:r>
        <w:r>
          <w:rPr>
            <w:rFonts w:ascii="Tahoma" w:hAnsi="Tahoma" w:cs="Tahoma"/>
            <w:color w:val="2F5496" w:themeColor="accent5" w:themeShade="BF"/>
            <w:sz w:val="16"/>
            <w:szCs w:val="16"/>
          </w:rPr>
          <w:t xml:space="preserve">: </w:t>
        </w:r>
        <w:r w:rsidR="00CD1A06">
          <w:rPr>
            <w:rFonts w:ascii="Tahoma" w:hAnsi="Tahoma" w:cs="Tahoma"/>
            <w:color w:val="2F5496" w:themeColor="accent5" w:themeShade="BF"/>
            <w:sz w:val="16"/>
            <w:szCs w:val="16"/>
          </w:rPr>
          <w:t xml:space="preserve">Work </w:t>
        </w:r>
        <w:r>
          <w:rPr>
            <w:rFonts w:ascii="Tahoma" w:hAnsi="Tahoma" w:cs="Tahoma"/>
            <w:color w:val="2F5496" w:themeColor="accent5" w:themeShade="BF"/>
            <w:sz w:val="16"/>
            <w:szCs w:val="16"/>
          </w:rPr>
          <w:t>Plan</w:t>
        </w:r>
        <w:r w:rsidRPr="00CA45F3">
          <w:rPr>
            <w:rFonts w:ascii="Tahoma" w:hAnsi="Tahoma" w:cs="Tahoma"/>
            <w:color w:val="2F5496" w:themeColor="accent5" w:themeShade="BF"/>
            <w:sz w:val="16"/>
            <w:szCs w:val="16"/>
          </w:rPr>
          <w:t xml:space="preserve"> </w:t>
        </w:r>
        <w:r w:rsidR="001C4CE2">
          <w:rPr>
            <w:rFonts w:ascii="Tahoma" w:hAnsi="Tahoma" w:cs="Tahoma"/>
            <w:color w:val="2F5496" w:themeColor="accent5" w:themeShade="BF"/>
            <w:sz w:val="16"/>
            <w:szCs w:val="16"/>
          </w:rPr>
          <w:t xml:space="preserve">2022 </w:t>
        </w:r>
        <w:r>
          <w:rPr>
            <w:rFonts w:ascii="Tahoma" w:hAnsi="Tahoma" w:cs="Tahoma"/>
            <w:color w:val="2F5496" w:themeColor="accent5" w:themeShade="BF"/>
            <w:sz w:val="16"/>
            <w:szCs w:val="16"/>
          </w:rPr>
          <w:t>-</w:t>
        </w:r>
        <w:r w:rsidR="001C4CE2">
          <w:rPr>
            <w:rFonts w:ascii="Tahoma" w:hAnsi="Tahoma" w:cs="Tahoma"/>
            <w:color w:val="2F5496" w:themeColor="accent5" w:themeShade="BF"/>
            <w:sz w:val="16"/>
            <w:szCs w:val="16"/>
          </w:rPr>
          <w:t xml:space="preserve">2024 </w:t>
        </w:r>
      </w:p>
    </w:sdtContent>
  </w:sdt>
  <w:p w14:paraId="4245FE41" w14:textId="0B8B9967" w:rsidR="00860083" w:rsidRPr="00CA45F3" w:rsidRDefault="00860083" w:rsidP="00E65074">
    <w:pPr>
      <w:pStyle w:val="Footer"/>
      <w:pBdr>
        <w:top w:val="single" w:sz="4" w:space="2" w:color="D9D9D9" w:themeColor="background1" w:themeShade="D9"/>
      </w:pBdr>
      <w:rPr>
        <w:rFonts w:ascii="Tahoma" w:hAnsi="Tahoma" w:cs="Tahoma"/>
        <w:color w:val="2F5496" w:themeColor="accent5" w:themeShade="B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7C121" w14:textId="77777777" w:rsidR="00545CF6" w:rsidRDefault="00545C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51367" w14:textId="7B2B575C" w:rsidR="00860083" w:rsidRPr="00CA45F3" w:rsidRDefault="00860083" w:rsidP="00CA45F3">
    <w:pPr>
      <w:pStyle w:val="Footer"/>
      <w:pBdr>
        <w:top w:val="single" w:sz="4" w:space="1" w:color="D9D9D9" w:themeColor="background1" w:themeShade="D9"/>
      </w:pBdr>
      <w:rPr>
        <w:rFonts w:ascii="Tahoma" w:hAnsi="Tahoma" w:cs="Tahoma"/>
        <w:color w:val="2F5496" w:themeColor="accent5" w:themeShade="BF"/>
        <w:sz w:val="16"/>
        <w:szCs w:val="16"/>
      </w:rPr>
    </w:pPr>
    <w:r w:rsidRPr="00CA45F3">
      <w:rPr>
        <w:rFonts w:ascii="Tahoma" w:hAnsi="Tahoma" w:cs="Tahoma"/>
        <w:color w:val="2F5496" w:themeColor="accent5" w:themeShade="BF"/>
        <w:sz w:val="16"/>
        <w:szCs w:val="16"/>
      </w:rPr>
      <w:t>Community Housing Industry Council</w:t>
    </w:r>
    <w:r>
      <w:rPr>
        <w:rFonts w:ascii="Tahoma" w:hAnsi="Tahoma" w:cs="Tahoma"/>
        <w:color w:val="2F5496" w:themeColor="accent5" w:themeShade="BF"/>
        <w:sz w:val="16"/>
        <w:szCs w:val="16"/>
      </w:rPr>
      <w:t xml:space="preserve">: </w:t>
    </w:r>
    <w:r w:rsidR="00CD1A06">
      <w:rPr>
        <w:rFonts w:ascii="Tahoma" w:hAnsi="Tahoma" w:cs="Tahoma"/>
        <w:color w:val="2F5496" w:themeColor="accent5" w:themeShade="BF"/>
        <w:sz w:val="16"/>
        <w:szCs w:val="16"/>
      </w:rPr>
      <w:t xml:space="preserve">Work </w:t>
    </w:r>
    <w:r>
      <w:rPr>
        <w:rFonts w:ascii="Tahoma" w:hAnsi="Tahoma" w:cs="Tahoma"/>
        <w:color w:val="2F5496" w:themeColor="accent5" w:themeShade="BF"/>
        <w:sz w:val="16"/>
        <w:szCs w:val="16"/>
      </w:rPr>
      <w:t>Plan</w:t>
    </w:r>
    <w:r w:rsidRPr="00CA45F3">
      <w:rPr>
        <w:rFonts w:ascii="Tahoma" w:hAnsi="Tahoma" w:cs="Tahoma"/>
        <w:color w:val="2F5496" w:themeColor="accent5" w:themeShade="BF"/>
        <w:sz w:val="16"/>
        <w:szCs w:val="16"/>
      </w:rPr>
      <w:t xml:space="preserve"> </w:t>
    </w:r>
    <w:r w:rsidR="00F870DE">
      <w:rPr>
        <w:rFonts w:ascii="Tahoma" w:hAnsi="Tahoma" w:cs="Tahoma"/>
        <w:color w:val="2F5496" w:themeColor="accent5" w:themeShade="BF"/>
        <w:sz w:val="16"/>
        <w:szCs w:val="16"/>
      </w:rPr>
      <w:t>202</w:t>
    </w:r>
    <w:r w:rsidR="001C4CE2">
      <w:rPr>
        <w:rFonts w:ascii="Tahoma" w:hAnsi="Tahoma" w:cs="Tahoma"/>
        <w:color w:val="2F5496" w:themeColor="accent5" w:themeShade="BF"/>
        <w:sz w:val="16"/>
        <w:szCs w:val="16"/>
      </w:rPr>
      <w:t>2</w:t>
    </w:r>
    <w:r w:rsidR="00F870DE">
      <w:rPr>
        <w:rFonts w:ascii="Tahoma" w:hAnsi="Tahoma" w:cs="Tahoma"/>
        <w:color w:val="2F5496" w:themeColor="accent5" w:themeShade="BF"/>
        <w:sz w:val="16"/>
        <w:szCs w:val="16"/>
      </w:rPr>
      <w:t xml:space="preserve"> -202</w:t>
    </w:r>
    <w:r w:rsidR="001C4CE2">
      <w:rPr>
        <w:rFonts w:ascii="Tahoma" w:hAnsi="Tahoma" w:cs="Tahoma"/>
        <w:color w:val="2F5496" w:themeColor="accent5" w:themeShade="BF"/>
        <w:sz w:val="16"/>
        <w:szCs w:val="16"/>
      </w:rPr>
      <w:t>4</w:t>
    </w:r>
    <w:r w:rsidRPr="00CA45F3">
      <w:rPr>
        <w:rFonts w:ascii="Tahoma" w:hAnsi="Tahoma" w:cs="Tahoma"/>
        <w:color w:val="2F5496" w:themeColor="accent5" w:themeShade="BF"/>
        <w:sz w:val="16"/>
        <w:szCs w:val="16"/>
      </w:rPr>
      <w:tab/>
    </w:r>
    <w:r w:rsidRPr="00CA45F3">
      <w:rPr>
        <w:rFonts w:ascii="Tahoma" w:hAnsi="Tahoma" w:cs="Tahoma"/>
        <w:color w:val="2F5496" w:themeColor="accent5" w:themeShade="BF"/>
        <w:sz w:val="16"/>
        <w:szCs w:val="16"/>
      </w:rPr>
      <w:tab/>
    </w:r>
    <w:r w:rsidRPr="00CA45F3">
      <w:rPr>
        <w:rFonts w:ascii="Tahoma" w:hAnsi="Tahoma" w:cs="Tahoma"/>
        <w:color w:val="2F5496" w:themeColor="accent5" w:themeShade="BF"/>
        <w:sz w:val="16"/>
        <w:szCs w:val="16"/>
      </w:rPr>
      <w:tab/>
    </w:r>
    <w:r w:rsidRPr="00CA45F3">
      <w:rPr>
        <w:rFonts w:ascii="Tahoma" w:hAnsi="Tahoma" w:cs="Tahoma"/>
        <w:color w:val="2F5496" w:themeColor="accent5" w:themeShade="BF"/>
        <w:sz w:val="16"/>
        <w:szCs w:val="16"/>
      </w:rPr>
      <w:tab/>
    </w:r>
    <w:r w:rsidRPr="00CA45F3">
      <w:rPr>
        <w:rFonts w:ascii="Tahoma" w:hAnsi="Tahoma" w:cs="Tahoma"/>
        <w:color w:val="2F5496" w:themeColor="accent5" w:themeShade="BF"/>
        <w:sz w:val="16"/>
        <w:szCs w:val="16"/>
      </w:rPr>
      <w:tab/>
    </w:r>
    <w:r w:rsidRPr="00CA45F3">
      <w:rPr>
        <w:rFonts w:ascii="Tahoma" w:hAnsi="Tahoma" w:cs="Tahoma"/>
        <w:color w:val="2F5496" w:themeColor="accent5" w:themeShade="BF"/>
        <w:sz w:val="16"/>
        <w:szCs w:val="16"/>
      </w:rPr>
      <w:tab/>
    </w:r>
    <w:r w:rsidRPr="00CA45F3">
      <w:rPr>
        <w:rFonts w:ascii="Tahoma" w:hAnsi="Tahoma" w:cs="Tahoma"/>
        <w:color w:val="2F5496" w:themeColor="accent5" w:themeShade="BF"/>
        <w:sz w:val="16"/>
        <w:szCs w:val="16"/>
      </w:rPr>
      <w:tab/>
    </w:r>
    <w:r w:rsidRPr="00CA45F3">
      <w:rPr>
        <w:rFonts w:ascii="Tahoma" w:hAnsi="Tahoma" w:cs="Tahoma"/>
        <w:color w:val="2F5496" w:themeColor="accent5" w:themeShade="B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EB684" w14:textId="77777777" w:rsidR="00D924B4" w:rsidRDefault="00D924B4" w:rsidP="006D35A0">
      <w:r>
        <w:separator/>
      </w:r>
    </w:p>
  </w:footnote>
  <w:footnote w:type="continuationSeparator" w:id="0">
    <w:p w14:paraId="2D296FBD" w14:textId="77777777" w:rsidR="00D924B4" w:rsidRDefault="00D924B4" w:rsidP="006D3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90E9A" w14:textId="77777777" w:rsidR="00545CF6" w:rsidRDefault="00545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AFEDA" w14:textId="48D72F68" w:rsidR="00B84F70" w:rsidRDefault="00B84F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EDA9E" w14:textId="77777777" w:rsidR="00545CF6" w:rsidRDefault="00545C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76731" w14:textId="77777777" w:rsidR="00487E3F" w:rsidRDefault="00487E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4DC60" w14:textId="77777777" w:rsidR="00487E3F" w:rsidRDefault="00487E3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AFD27" w14:textId="77777777" w:rsidR="00487E3F" w:rsidRDefault="00487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5689"/>
    <w:multiLevelType w:val="hybridMultilevel"/>
    <w:tmpl w:val="41F2348C"/>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F596B27"/>
    <w:multiLevelType w:val="hybridMultilevel"/>
    <w:tmpl w:val="F0164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13D61"/>
    <w:multiLevelType w:val="hybridMultilevel"/>
    <w:tmpl w:val="0ADA879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BA41929"/>
    <w:multiLevelType w:val="hybridMultilevel"/>
    <w:tmpl w:val="0F7EB8BA"/>
    <w:lvl w:ilvl="0" w:tplc="0C09000F">
      <w:start w:val="1"/>
      <w:numFmt w:val="decimal"/>
      <w:lvlText w:val="%1."/>
      <w:lvlJc w:val="left"/>
      <w:pPr>
        <w:ind w:left="786"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167257F"/>
    <w:multiLevelType w:val="hybridMultilevel"/>
    <w:tmpl w:val="18D4C510"/>
    <w:lvl w:ilvl="0" w:tplc="687E2C50">
      <w:start w:val="1"/>
      <w:numFmt w:val="bullet"/>
      <w:pStyle w:val="Tablebullet"/>
      <w:lvlText w:val=""/>
      <w:lvlJc w:val="left"/>
      <w:pPr>
        <w:ind w:left="720" w:hanging="360"/>
      </w:pPr>
      <w:rPr>
        <w:rFonts w:ascii="Wingdings" w:hAnsi="Wingdings" w:hint="default"/>
      </w:rPr>
    </w:lvl>
    <w:lvl w:ilvl="1" w:tplc="D96EDB92">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6340C5"/>
    <w:multiLevelType w:val="hybridMultilevel"/>
    <w:tmpl w:val="01C2C11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0491E3E"/>
    <w:multiLevelType w:val="hybridMultilevel"/>
    <w:tmpl w:val="BEB819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BE74371"/>
    <w:multiLevelType w:val="hybridMultilevel"/>
    <w:tmpl w:val="0F7EB8B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0DD20BE"/>
    <w:multiLevelType w:val="hybridMultilevel"/>
    <w:tmpl w:val="AD120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5F7DD2"/>
    <w:multiLevelType w:val="hybridMultilevel"/>
    <w:tmpl w:val="01C2C11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0034D4D"/>
    <w:multiLevelType w:val="hybridMultilevel"/>
    <w:tmpl w:val="77A8D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2A05B1"/>
    <w:multiLevelType w:val="hybridMultilevel"/>
    <w:tmpl w:val="EE0A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B355BF"/>
    <w:multiLevelType w:val="hybridMultilevel"/>
    <w:tmpl w:val="524A622C"/>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8"/>
  </w:num>
  <w:num w:numId="5">
    <w:abstractNumId w:val="1"/>
  </w:num>
  <w:num w:numId="6">
    <w:abstractNumId w:val="6"/>
  </w:num>
  <w:num w:numId="7">
    <w:abstractNumId w:val="11"/>
  </w:num>
  <w:num w:numId="8">
    <w:abstractNumId w:val="12"/>
  </w:num>
  <w:num w:numId="9">
    <w:abstractNumId w:val="5"/>
  </w:num>
  <w:num w:numId="10">
    <w:abstractNumId w:val="9"/>
  </w:num>
  <w:num w:numId="11">
    <w:abstractNumId w:val="7"/>
  </w:num>
  <w:num w:numId="12">
    <w:abstractNumId w:val="3"/>
  </w:num>
  <w:num w:numId="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E3F"/>
    <w:rsid w:val="00002C81"/>
    <w:rsid w:val="000039A1"/>
    <w:rsid w:val="00004B1A"/>
    <w:rsid w:val="00010691"/>
    <w:rsid w:val="000137FF"/>
    <w:rsid w:val="00016AA6"/>
    <w:rsid w:val="0001751E"/>
    <w:rsid w:val="00025CDB"/>
    <w:rsid w:val="00031CDF"/>
    <w:rsid w:val="0003516D"/>
    <w:rsid w:val="00041B4A"/>
    <w:rsid w:val="00041D34"/>
    <w:rsid w:val="00044661"/>
    <w:rsid w:val="0005156E"/>
    <w:rsid w:val="000539F5"/>
    <w:rsid w:val="000544D0"/>
    <w:rsid w:val="00056A70"/>
    <w:rsid w:val="00057E14"/>
    <w:rsid w:val="00064098"/>
    <w:rsid w:val="000706CD"/>
    <w:rsid w:val="000761C9"/>
    <w:rsid w:val="00080065"/>
    <w:rsid w:val="000813AC"/>
    <w:rsid w:val="00083D29"/>
    <w:rsid w:val="000928FF"/>
    <w:rsid w:val="00092BD8"/>
    <w:rsid w:val="000A34BA"/>
    <w:rsid w:val="000A3B4B"/>
    <w:rsid w:val="000A6DB6"/>
    <w:rsid w:val="000B1AE6"/>
    <w:rsid w:val="000B4669"/>
    <w:rsid w:val="000C41BE"/>
    <w:rsid w:val="000D3702"/>
    <w:rsid w:val="000D5725"/>
    <w:rsid w:val="000E4707"/>
    <w:rsid w:val="000E746C"/>
    <w:rsid w:val="000F1746"/>
    <w:rsid w:val="0010165A"/>
    <w:rsid w:val="00102086"/>
    <w:rsid w:val="00115D2D"/>
    <w:rsid w:val="00127BF4"/>
    <w:rsid w:val="001305EA"/>
    <w:rsid w:val="001379B6"/>
    <w:rsid w:val="00154A47"/>
    <w:rsid w:val="00156CE7"/>
    <w:rsid w:val="00163C0F"/>
    <w:rsid w:val="00166510"/>
    <w:rsid w:val="001712AC"/>
    <w:rsid w:val="0017309A"/>
    <w:rsid w:val="001743F9"/>
    <w:rsid w:val="00182280"/>
    <w:rsid w:val="00184C5A"/>
    <w:rsid w:val="00190765"/>
    <w:rsid w:val="00195BE7"/>
    <w:rsid w:val="00196C19"/>
    <w:rsid w:val="00196DA6"/>
    <w:rsid w:val="001A6DCA"/>
    <w:rsid w:val="001B2027"/>
    <w:rsid w:val="001B600D"/>
    <w:rsid w:val="001C1F0A"/>
    <w:rsid w:val="001C2EA2"/>
    <w:rsid w:val="001C4CE2"/>
    <w:rsid w:val="001D09B7"/>
    <w:rsid w:val="001D178A"/>
    <w:rsid w:val="001D2D6A"/>
    <w:rsid w:val="001D2FBA"/>
    <w:rsid w:val="001D51EA"/>
    <w:rsid w:val="001D6C69"/>
    <w:rsid w:val="001D7A1F"/>
    <w:rsid w:val="001E263D"/>
    <w:rsid w:val="001E3E19"/>
    <w:rsid w:val="001E6564"/>
    <w:rsid w:val="001E71AB"/>
    <w:rsid w:val="001F1A15"/>
    <w:rsid w:val="002008F6"/>
    <w:rsid w:val="0020515F"/>
    <w:rsid w:val="0021260F"/>
    <w:rsid w:val="00213DA9"/>
    <w:rsid w:val="00214851"/>
    <w:rsid w:val="00223298"/>
    <w:rsid w:val="00223FE6"/>
    <w:rsid w:val="00225DCA"/>
    <w:rsid w:val="00232C32"/>
    <w:rsid w:val="002343A5"/>
    <w:rsid w:val="00235AFB"/>
    <w:rsid w:val="00242F1A"/>
    <w:rsid w:val="0024304B"/>
    <w:rsid w:val="002437FC"/>
    <w:rsid w:val="00243F6F"/>
    <w:rsid w:val="00251523"/>
    <w:rsid w:val="00251FF9"/>
    <w:rsid w:val="002537A0"/>
    <w:rsid w:val="002572D7"/>
    <w:rsid w:val="00260B55"/>
    <w:rsid w:val="00262F7B"/>
    <w:rsid w:val="002639C0"/>
    <w:rsid w:val="002646B4"/>
    <w:rsid w:val="00265DD0"/>
    <w:rsid w:val="002703F1"/>
    <w:rsid w:val="00272B14"/>
    <w:rsid w:val="00275F16"/>
    <w:rsid w:val="002807DF"/>
    <w:rsid w:val="0028443B"/>
    <w:rsid w:val="00286216"/>
    <w:rsid w:val="002A313D"/>
    <w:rsid w:val="002A55EF"/>
    <w:rsid w:val="002B732D"/>
    <w:rsid w:val="002B78A4"/>
    <w:rsid w:val="002C3651"/>
    <w:rsid w:val="002D284C"/>
    <w:rsid w:val="002D36F8"/>
    <w:rsid w:val="002D5B02"/>
    <w:rsid w:val="002E3018"/>
    <w:rsid w:val="002E341B"/>
    <w:rsid w:val="002E76E6"/>
    <w:rsid w:val="002E787F"/>
    <w:rsid w:val="002F0EEF"/>
    <w:rsid w:val="0030087E"/>
    <w:rsid w:val="003125EA"/>
    <w:rsid w:val="003153BD"/>
    <w:rsid w:val="003163F5"/>
    <w:rsid w:val="0031714A"/>
    <w:rsid w:val="00321EAF"/>
    <w:rsid w:val="0032427F"/>
    <w:rsid w:val="0032794F"/>
    <w:rsid w:val="00332B92"/>
    <w:rsid w:val="003359FF"/>
    <w:rsid w:val="00335C9E"/>
    <w:rsid w:val="003379B0"/>
    <w:rsid w:val="00356FB7"/>
    <w:rsid w:val="00361941"/>
    <w:rsid w:val="00362280"/>
    <w:rsid w:val="00374084"/>
    <w:rsid w:val="0037606F"/>
    <w:rsid w:val="00376A00"/>
    <w:rsid w:val="00376DE7"/>
    <w:rsid w:val="00386DE4"/>
    <w:rsid w:val="00387320"/>
    <w:rsid w:val="003876D2"/>
    <w:rsid w:val="00387A7D"/>
    <w:rsid w:val="003A22AE"/>
    <w:rsid w:val="003A45DF"/>
    <w:rsid w:val="003A7FD4"/>
    <w:rsid w:val="003B7FE9"/>
    <w:rsid w:val="003C1991"/>
    <w:rsid w:val="003D0739"/>
    <w:rsid w:val="003E007B"/>
    <w:rsid w:val="003E3D87"/>
    <w:rsid w:val="003E6766"/>
    <w:rsid w:val="003F4FC8"/>
    <w:rsid w:val="003F646D"/>
    <w:rsid w:val="003F72BF"/>
    <w:rsid w:val="004004AC"/>
    <w:rsid w:val="00401864"/>
    <w:rsid w:val="00405A3B"/>
    <w:rsid w:val="00410AEF"/>
    <w:rsid w:val="0041366E"/>
    <w:rsid w:val="004167C3"/>
    <w:rsid w:val="00421282"/>
    <w:rsid w:val="004238A3"/>
    <w:rsid w:val="00427851"/>
    <w:rsid w:val="00435AC6"/>
    <w:rsid w:val="00450E2B"/>
    <w:rsid w:val="0045366D"/>
    <w:rsid w:val="0045390A"/>
    <w:rsid w:val="004548FF"/>
    <w:rsid w:val="00457FC3"/>
    <w:rsid w:val="00474AA9"/>
    <w:rsid w:val="00475C16"/>
    <w:rsid w:val="00477C96"/>
    <w:rsid w:val="00480007"/>
    <w:rsid w:val="00483F08"/>
    <w:rsid w:val="00487E3F"/>
    <w:rsid w:val="00491BD7"/>
    <w:rsid w:val="004A312B"/>
    <w:rsid w:val="004B1853"/>
    <w:rsid w:val="004B5741"/>
    <w:rsid w:val="004B7A7C"/>
    <w:rsid w:val="004D2AFA"/>
    <w:rsid w:val="004D4D33"/>
    <w:rsid w:val="004E101D"/>
    <w:rsid w:val="004E4025"/>
    <w:rsid w:val="004E4AE7"/>
    <w:rsid w:val="004E7273"/>
    <w:rsid w:val="004F02A4"/>
    <w:rsid w:val="004F07B5"/>
    <w:rsid w:val="004F2028"/>
    <w:rsid w:val="004F581E"/>
    <w:rsid w:val="00501B32"/>
    <w:rsid w:val="0050723D"/>
    <w:rsid w:val="005148BE"/>
    <w:rsid w:val="005151C7"/>
    <w:rsid w:val="00521561"/>
    <w:rsid w:val="0052366D"/>
    <w:rsid w:val="0052418F"/>
    <w:rsid w:val="00527C49"/>
    <w:rsid w:val="00531CB6"/>
    <w:rsid w:val="005414FC"/>
    <w:rsid w:val="00545CF6"/>
    <w:rsid w:val="005501E1"/>
    <w:rsid w:val="00562A77"/>
    <w:rsid w:val="00573A00"/>
    <w:rsid w:val="00577BC0"/>
    <w:rsid w:val="00592997"/>
    <w:rsid w:val="0059588E"/>
    <w:rsid w:val="00595BB2"/>
    <w:rsid w:val="00595D65"/>
    <w:rsid w:val="005A0A70"/>
    <w:rsid w:val="005A17A3"/>
    <w:rsid w:val="005A3568"/>
    <w:rsid w:val="005A452C"/>
    <w:rsid w:val="005A4EC7"/>
    <w:rsid w:val="005A52FB"/>
    <w:rsid w:val="005B1AC2"/>
    <w:rsid w:val="005C0923"/>
    <w:rsid w:val="005C15E8"/>
    <w:rsid w:val="005C197E"/>
    <w:rsid w:val="005D035F"/>
    <w:rsid w:val="005D194A"/>
    <w:rsid w:val="005D402A"/>
    <w:rsid w:val="005D4503"/>
    <w:rsid w:val="005D7E03"/>
    <w:rsid w:val="005E2590"/>
    <w:rsid w:val="005F15CA"/>
    <w:rsid w:val="005F43C6"/>
    <w:rsid w:val="005F710E"/>
    <w:rsid w:val="00603B28"/>
    <w:rsid w:val="00610A16"/>
    <w:rsid w:val="006149D9"/>
    <w:rsid w:val="00614BB7"/>
    <w:rsid w:val="00622A10"/>
    <w:rsid w:val="00626E85"/>
    <w:rsid w:val="00631804"/>
    <w:rsid w:val="00633AC3"/>
    <w:rsid w:val="006464C5"/>
    <w:rsid w:val="00646C43"/>
    <w:rsid w:val="00646D7A"/>
    <w:rsid w:val="00652A0C"/>
    <w:rsid w:val="00654387"/>
    <w:rsid w:val="00654758"/>
    <w:rsid w:val="00655466"/>
    <w:rsid w:val="00655864"/>
    <w:rsid w:val="00657E8B"/>
    <w:rsid w:val="00665AE7"/>
    <w:rsid w:val="006666FB"/>
    <w:rsid w:val="00667429"/>
    <w:rsid w:val="006723F8"/>
    <w:rsid w:val="00673DF1"/>
    <w:rsid w:val="006742C8"/>
    <w:rsid w:val="006763DA"/>
    <w:rsid w:val="006777B3"/>
    <w:rsid w:val="00677872"/>
    <w:rsid w:val="00683C99"/>
    <w:rsid w:val="0068663D"/>
    <w:rsid w:val="00687B8A"/>
    <w:rsid w:val="006916C9"/>
    <w:rsid w:val="006A4989"/>
    <w:rsid w:val="006A6372"/>
    <w:rsid w:val="006B192F"/>
    <w:rsid w:val="006B75CD"/>
    <w:rsid w:val="006C02D4"/>
    <w:rsid w:val="006C2B5D"/>
    <w:rsid w:val="006C4BC6"/>
    <w:rsid w:val="006C54C1"/>
    <w:rsid w:val="006C5545"/>
    <w:rsid w:val="006D06CC"/>
    <w:rsid w:val="006D0752"/>
    <w:rsid w:val="006D35A0"/>
    <w:rsid w:val="006D4B6A"/>
    <w:rsid w:val="006E00FC"/>
    <w:rsid w:val="006E2ED5"/>
    <w:rsid w:val="006E3BFF"/>
    <w:rsid w:val="006E512D"/>
    <w:rsid w:val="006F0488"/>
    <w:rsid w:val="006F3B28"/>
    <w:rsid w:val="007009E7"/>
    <w:rsid w:val="00702C27"/>
    <w:rsid w:val="00703D0C"/>
    <w:rsid w:val="0070409D"/>
    <w:rsid w:val="007058F5"/>
    <w:rsid w:val="00710A1E"/>
    <w:rsid w:val="007113F6"/>
    <w:rsid w:val="00713C93"/>
    <w:rsid w:val="00721E5B"/>
    <w:rsid w:val="00733DFD"/>
    <w:rsid w:val="0074181B"/>
    <w:rsid w:val="007442D5"/>
    <w:rsid w:val="00745FAB"/>
    <w:rsid w:val="0076215D"/>
    <w:rsid w:val="00763A15"/>
    <w:rsid w:val="0076592F"/>
    <w:rsid w:val="007709F8"/>
    <w:rsid w:val="0077314D"/>
    <w:rsid w:val="00776B04"/>
    <w:rsid w:val="007815D5"/>
    <w:rsid w:val="007822E5"/>
    <w:rsid w:val="0078235C"/>
    <w:rsid w:val="0078285F"/>
    <w:rsid w:val="0078417A"/>
    <w:rsid w:val="007A2768"/>
    <w:rsid w:val="007A2ECC"/>
    <w:rsid w:val="007A4750"/>
    <w:rsid w:val="007B26D2"/>
    <w:rsid w:val="007B2ABE"/>
    <w:rsid w:val="007B7123"/>
    <w:rsid w:val="007B77D3"/>
    <w:rsid w:val="007C465B"/>
    <w:rsid w:val="007C63BD"/>
    <w:rsid w:val="007D4349"/>
    <w:rsid w:val="007D6576"/>
    <w:rsid w:val="007D7D3E"/>
    <w:rsid w:val="007E13C6"/>
    <w:rsid w:val="007E3B20"/>
    <w:rsid w:val="007E4D33"/>
    <w:rsid w:val="007E4F31"/>
    <w:rsid w:val="007E7166"/>
    <w:rsid w:val="007F5B2B"/>
    <w:rsid w:val="007F64AD"/>
    <w:rsid w:val="0080634E"/>
    <w:rsid w:val="008073E2"/>
    <w:rsid w:val="008123D7"/>
    <w:rsid w:val="008179A1"/>
    <w:rsid w:val="00826FD0"/>
    <w:rsid w:val="00832EEA"/>
    <w:rsid w:val="008336E4"/>
    <w:rsid w:val="00836CCC"/>
    <w:rsid w:val="00840389"/>
    <w:rsid w:val="00843B56"/>
    <w:rsid w:val="00845610"/>
    <w:rsid w:val="00850952"/>
    <w:rsid w:val="00855836"/>
    <w:rsid w:val="008578F6"/>
    <w:rsid w:val="00860083"/>
    <w:rsid w:val="008623AE"/>
    <w:rsid w:val="00873C2E"/>
    <w:rsid w:val="00875503"/>
    <w:rsid w:val="00884D82"/>
    <w:rsid w:val="00884DAC"/>
    <w:rsid w:val="00885C7D"/>
    <w:rsid w:val="00890EC0"/>
    <w:rsid w:val="00890F91"/>
    <w:rsid w:val="008919EB"/>
    <w:rsid w:val="008951FD"/>
    <w:rsid w:val="00895803"/>
    <w:rsid w:val="0089584E"/>
    <w:rsid w:val="00896369"/>
    <w:rsid w:val="008A0EC1"/>
    <w:rsid w:val="008A28DE"/>
    <w:rsid w:val="008A2CA5"/>
    <w:rsid w:val="008A68EB"/>
    <w:rsid w:val="008C1853"/>
    <w:rsid w:val="008C2E90"/>
    <w:rsid w:val="008C3308"/>
    <w:rsid w:val="008D07EA"/>
    <w:rsid w:val="008D25D2"/>
    <w:rsid w:val="008E16F6"/>
    <w:rsid w:val="008F1D97"/>
    <w:rsid w:val="008F34B3"/>
    <w:rsid w:val="008F3E40"/>
    <w:rsid w:val="008F691C"/>
    <w:rsid w:val="00900D17"/>
    <w:rsid w:val="00903080"/>
    <w:rsid w:val="00903889"/>
    <w:rsid w:val="009071DB"/>
    <w:rsid w:val="00907E73"/>
    <w:rsid w:val="009104EE"/>
    <w:rsid w:val="0091109D"/>
    <w:rsid w:val="00913A78"/>
    <w:rsid w:val="00914B24"/>
    <w:rsid w:val="009165D3"/>
    <w:rsid w:val="0091769B"/>
    <w:rsid w:val="00922873"/>
    <w:rsid w:val="00923BFC"/>
    <w:rsid w:val="009341E4"/>
    <w:rsid w:val="009360AC"/>
    <w:rsid w:val="00940D02"/>
    <w:rsid w:val="00955BF6"/>
    <w:rsid w:val="00956FA8"/>
    <w:rsid w:val="00957F1F"/>
    <w:rsid w:val="00962289"/>
    <w:rsid w:val="00966A47"/>
    <w:rsid w:val="00980C30"/>
    <w:rsid w:val="00980CA1"/>
    <w:rsid w:val="00984ECC"/>
    <w:rsid w:val="00995B88"/>
    <w:rsid w:val="00996F4C"/>
    <w:rsid w:val="009A09CC"/>
    <w:rsid w:val="009A3282"/>
    <w:rsid w:val="009A37E3"/>
    <w:rsid w:val="009B13DD"/>
    <w:rsid w:val="009B18BB"/>
    <w:rsid w:val="009C13A0"/>
    <w:rsid w:val="009C1B27"/>
    <w:rsid w:val="009C202F"/>
    <w:rsid w:val="009C30ED"/>
    <w:rsid w:val="009C6505"/>
    <w:rsid w:val="009D25AA"/>
    <w:rsid w:val="009D390A"/>
    <w:rsid w:val="009D512C"/>
    <w:rsid w:val="009E0508"/>
    <w:rsid w:val="00A031FD"/>
    <w:rsid w:val="00A06B0B"/>
    <w:rsid w:val="00A1042E"/>
    <w:rsid w:val="00A11B52"/>
    <w:rsid w:val="00A234B9"/>
    <w:rsid w:val="00A24F23"/>
    <w:rsid w:val="00A26EB7"/>
    <w:rsid w:val="00A3135E"/>
    <w:rsid w:val="00A31BE4"/>
    <w:rsid w:val="00A34BF8"/>
    <w:rsid w:val="00A36AC8"/>
    <w:rsid w:val="00A42D2E"/>
    <w:rsid w:val="00A42FDD"/>
    <w:rsid w:val="00A45F56"/>
    <w:rsid w:val="00A463DB"/>
    <w:rsid w:val="00A50DA2"/>
    <w:rsid w:val="00A555E7"/>
    <w:rsid w:val="00A70181"/>
    <w:rsid w:val="00A71551"/>
    <w:rsid w:val="00A718D6"/>
    <w:rsid w:val="00A74992"/>
    <w:rsid w:val="00A777D2"/>
    <w:rsid w:val="00A83DD8"/>
    <w:rsid w:val="00A92755"/>
    <w:rsid w:val="00A94446"/>
    <w:rsid w:val="00A977D8"/>
    <w:rsid w:val="00A97DC3"/>
    <w:rsid w:val="00AA22CB"/>
    <w:rsid w:val="00AA2340"/>
    <w:rsid w:val="00AA6C7C"/>
    <w:rsid w:val="00AB27E0"/>
    <w:rsid w:val="00AC0BB2"/>
    <w:rsid w:val="00AC385B"/>
    <w:rsid w:val="00AC3D13"/>
    <w:rsid w:val="00AD6397"/>
    <w:rsid w:val="00AE018A"/>
    <w:rsid w:val="00AE1D7B"/>
    <w:rsid w:val="00AF3880"/>
    <w:rsid w:val="00AF5EFF"/>
    <w:rsid w:val="00B12C9E"/>
    <w:rsid w:val="00B23C4B"/>
    <w:rsid w:val="00B25D83"/>
    <w:rsid w:val="00B27DCC"/>
    <w:rsid w:val="00B30800"/>
    <w:rsid w:val="00B463BC"/>
    <w:rsid w:val="00B56F04"/>
    <w:rsid w:val="00B6696D"/>
    <w:rsid w:val="00B67218"/>
    <w:rsid w:val="00B70E36"/>
    <w:rsid w:val="00B737B1"/>
    <w:rsid w:val="00B73D8E"/>
    <w:rsid w:val="00B84F70"/>
    <w:rsid w:val="00B8672C"/>
    <w:rsid w:val="00B91B49"/>
    <w:rsid w:val="00B943F7"/>
    <w:rsid w:val="00B94EFE"/>
    <w:rsid w:val="00BB102A"/>
    <w:rsid w:val="00BB3D9E"/>
    <w:rsid w:val="00BB67A0"/>
    <w:rsid w:val="00BD474A"/>
    <w:rsid w:val="00BD7DDB"/>
    <w:rsid w:val="00BE4912"/>
    <w:rsid w:val="00BE50FA"/>
    <w:rsid w:val="00BF02BA"/>
    <w:rsid w:val="00BF15F3"/>
    <w:rsid w:val="00BF5833"/>
    <w:rsid w:val="00C073C3"/>
    <w:rsid w:val="00C11965"/>
    <w:rsid w:val="00C147C4"/>
    <w:rsid w:val="00C2372A"/>
    <w:rsid w:val="00C32876"/>
    <w:rsid w:val="00C46E33"/>
    <w:rsid w:val="00C50825"/>
    <w:rsid w:val="00C53313"/>
    <w:rsid w:val="00C56DB0"/>
    <w:rsid w:val="00C63120"/>
    <w:rsid w:val="00C66447"/>
    <w:rsid w:val="00C67DAB"/>
    <w:rsid w:val="00C73AD3"/>
    <w:rsid w:val="00C7498F"/>
    <w:rsid w:val="00C76E0A"/>
    <w:rsid w:val="00C8262D"/>
    <w:rsid w:val="00C91FE7"/>
    <w:rsid w:val="00C921D6"/>
    <w:rsid w:val="00C9279A"/>
    <w:rsid w:val="00C958E2"/>
    <w:rsid w:val="00C96D75"/>
    <w:rsid w:val="00CA45F3"/>
    <w:rsid w:val="00CA519D"/>
    <w:rsid w:val="00CA54B4"/>
    <w:rsid w:val="00CB0DC0"/>
    <w:rsid w:val="00CB1758"/>
    <w:rsid w:val="00CB52E7"/>
    <w:rsid w:val="00CC01E5"/>
    <w:rsid w:val="00CC073B"/>
    <w:rsid w:val="00CD13B3"/>
    <w:rsid w:val="00CD1A06"/>
    <w:rsid w:val="00CD3A73"/>
    <w:rsid w:val="00CD5BC7"/>
    <w:rsid w:val="00D0194A"/>
    <w:rsid w:val="00D06CAD"/>
    <w:rsid w:val="00D13323"/>
    <w:rsid w:val="00D13488"/>
    <w:rsid w:val="00D21F55"/>
    <w:rsid w:val="00D31152"/>
    <w:rsid w:val="00D31F78"/>
    <w:rsid w:val="00D42320"/>
    <w:rsid w:val="00D43CE1"/>
    <w:rsid w:val="00D5126C"/>
    <w:rsid w:val="00D60B45"/>
    <w:rsid w:val="00D62393"/>
    <w:rsid w:val="00D659A3"/>
    <w:rsid w:val="00D666AC"/>
    <w:rsid w:val="00D67424"/>
    <w:rsid w:val="00D704F8"/>
    <w:rsid w:val="00D71DD9"/>
    <w:rsid w:val="00D7510F"/>
    <w:rsid w:val="00D80A88"/>
    <w:rsid w:val="00D85E02"/>
    <w:rsid w:val="00D85E23"/>
    <w:rsid w:val="00D86A2A"/>
    <w:rsid w:val="00D909AC"/>
    <w:rsid w:val="00D924B4"/>
    <w:rsid w:val="00D94DA2"/>
    <w:rsid w:val="00D978D9"/>
    <w:rsid w:val="00DB1EFC"/>
    <w:rsid w:val="00DB6E46"/>
    <w:rsid w:val="00DD0683"/>
    <w:rsid w:val="00DE37CC"/>
    <w:rsid w:val="00DF14DD"/>
    <w:rsid w:val="00DF370C"/>
    <w:rsid w:val="00DF3747"/>
    <w:rsid w:val="00DF6DD7"/>
    <w:rsid w:val="00E04584"/>
    <w:rsid w:val="00E20A3C"/>
    <w:rsid w:val="00E26D63"/>
    <w:rsid w:val="00E41CD6"/>
    <w:rsid w:val="00E46C9A"/>
    <w:rsid w:val="00E517AC"/>
    <w:rsid w:val="00E52264"/>
    <w:rsid w:val="00E53856"/>
    <w:rsid w:val="00E617DF"/>
    <w:rsid w:val="00E65074"/>
    <w:rsid w:val="00E67A20"/>
    <w:rsid w:val="00E750C8"/>
    <w:rsid w:val="00E76472"/>
    <w:rsid w:val="00E80571"/>
    <w:rsid w:val="00E805AB"/>
    <w:rsid w:val="00E8269B"/>
    <w:rsid w:val="00E91C19"/>
    <w:rsid w:val="00E922D7"/>
    <w:rsid w:val="00E92E3F"/>
    <w:rsid w:val="00E94C84"/>
    <w:rsid w:val="00E96F89"/>
    <w:rsid w:val="00EA1C2A"/>
    <w:rsid w:val="00EA6F76"/>
    <w:rsid w:val="00EB3694"/>
    <w:rsid w:val="00EB6181"/>
    <w:rsid w:val="00ED045C"/>
    <w:rsid w:val="00ED0568"/>
    <w:rsid w:val="00ED07D0"/>
    <w:rsid w:val="00ED0F88"/>
    <w:rsid w:val="00ED7F2C"/>
    <w:rsid w:val="00EE047C"/>
    <w:rsid w:val="00EE7D41"/>
    <w:rsid w:val="00EF0B6D"/>
    <w:rsid w:val="00EF329A"/>
    <w:rsid w:val="00F07C47"/>
    <w:rsid w:val="00F10964"/>
    <w:rsid w:val="00F12CC4"/>
    <w:rsid w:val="00F14AD4"/>
    <w:rsid w:val="00F238A4"/>
    <w:rsid w:val="00F31482"/>
    <w:rsid w:val="00F333B4"/>
    <w:rsid w:val="00F3346E"/>
    <w:rsid w:val="00F4400E"/>
    <w:rsid w:val="00F46FBD"/>
    <w:rsid w:val="00F515DE"/>
    <w:rsid w:val="00F6167D"/>
    <w:rsid w:val="00F63436"/>
    <w:rsid w:val="00F6445B"/>
    <w:rsid w:val="00F65988"/>
    <w:rsid w:val="00F65D6A"/>
    <w:rsid w:val="00F7406F"/>
    <w:rsid w:val="00F846C6"/>
    <w:rsid w:val="00F870DE"/>
    <w:rsid w:val="00F87D4B"/>
    <w:rsid w:val="00F947D7"/>
    <w:rsid w:val="00F95F64"/>
    <w:rsid w:val="00F961B9"/>
    <w:rsid w:val="00F9639F"/>
    <w:rsid w:val="00FA0498"/>
    <w:rsid w:val="00FA4306"/>
    <w:rsid w:val="00FA4A81"/>
    <w:rsid w:val="00FB1E26"/>
    <w:rsid w:val="00FB2984"/>
    <w:rsid w:val="00FC73CD"/>
    <w:rsid w:val="00FD08E1"/>
    <w:rsid w:val="00FD0A5B"/>
    <w:rsid w:val="00FD6CD9"/>
    <w:rsid w:val="00FD7B2E"/>
    <w:rsid w:val="00FE4210"/>
    <w:rsid w:val="00FF329C"/>
    <w:rsid w:val="00FF3CF7"/>
    <w:rsid w:val="00FF4E07"/>
    <w:rsid w:val="00FF54FE"/>
    <w:rsid w:val="00FF65DF"/>
    <w:rsid w:val="00FF7E0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1B8180"/>
  <w14:defaultImageDpi w14:val="0"/>
  <w15:docId w15:val="{3439F392-F558-4779-9346-480FEA8F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6D35A0"/>
    <w:pPr>
      <w:widowControl w:val="0"/>
      <w:autoSpaceDE w:val="0"/>
      <w:autoSpaceDN w:val="0"/>
      <w:adjustRightInd w:val="0"/>
      <w:spacing w:after="0" w:line="240" w:lineRule="auto"/>
    </w:pPr>
    <w:rPr>
      <w:rFonts w:ascii="Times New Roman" w:hAnsi="Times New Roman"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409D"/>
    <w:pPr>
      <w:widowControl/>
      <w:tabs>
        <w:tab w:val="center" w:pos="4513"/>
        <w:tab w:val="right" w:pos="9026"/>
      </w:tabs>
      <w:autoSpaceDE/>
      <w:autoSpaceDN/>
      <w:adjustRightInd/>
    </w:pPr>
    <w:rPr>
      <w:rFonts w:ascii="Cambria" w:eastAsia="Calibri" w:hAnsi="Cambria"/>
      <w:i/>
      <w:sz w:val="24"/>
      <w:szCs w:val="22"/>
      <w:lang w:val="en-AU" w:eastAsia="en-US"/>
    </w:rPr>
  </w:style>
  <w:style w:type="character" w:customStyle="1" w:styleId="HeaderChar">
    <w:name w:val="Header Char"/>
    <w:basedOn w:val="DefaultParagraphFont"/>
    <w:link w:val="Header"/>
    <w:uiPriority w:val="99"/>
    <w:rsid w:val="0070409D"/>
    <w:rPr>
      <w:rFonts w:ascii="Cambria" w:eastAsia="Calibri" w:hAnsi="Cambria" w:cs="Times New Roman"/>
      <w:i/>
      <w:sz w:val="24"/>
      <w:lang w:eastAsia="en-US"/>
    </w:rPr>
  </w:style>
  <w:style w:type="paragraph" w:customStyle="1" w:styleId="Tablebullet">
    <w:name w:val="Table bullet"/>
    <w:basedOn w:val="Normal"/>
    <w:qFormat/>
    <w:rsid w:val="0070409D"/>
    <w:pPr>
      <w:widowControl/>
      <w:numPr>
        <w:numId w:val="1"/>
      </w:numPr>
      <w:autoSpaceDE/>
      <w:autoSpaceDN/>
      <w:adjustRightInd/>
    </w:pPr>
    <w:rPr>
      <w:rFonts w:ascii="Cambria" w:eastAsia="Calibri" w:hAnsi="Cambria"/>
      <w:szCs w:val="22"/>
      <w:lang w:val="en-AU" w:eastAsia="en-US"/>
    </w:rPr>
  </w:style>
  <w:style w:type="paragraph" w:styleId="ListParagraph">
    <w:name w:val="List Paragraph"/>
    <w:basedOn w:val="Normal"/>
    <w:uiPriority w:val="34"/>
    <w:qFormat/>
    <w:rsid w:val="006B75CD"/>
    <w:pPr>
      <w:widowControl/>
      <w:autoSpaceDE/>
      <w:autoSpaceDN/>
      <w:adjustRightInd/>
      <w:spacing w:after="160" w:line="259" w:lineRule="auto"/>
      <w:ind w:left="720"/>
      <w:contextualSpacing/>
    </w:pPr>
    <w:rPr>
      <w:rFonts w:asciiTheme="minorHAnsi" w:eastAsiaTheme="minorHAnsi" w:hAnsiTheme="minorHAnsi" w:cstheme="minorBidi"/>
      <w:sz w:val="22"/>
      <w:szCs w:val="22"/>
      <w:lang w:val="en-AU" w:eastAsia="en-US"/>
    </w:rPr>
  </w:style>
  <w:style w:type="paragraph" w:styleId="Footer">
    <w:name w:val="footer"/>
    <w:basedOn w:val="Normal"/>
    <w:link w:val="FooterChar"/>
    <w:uiPriority w:val="99"/>
    <w:unhideWhenUsed/>
    <w:rsid w:val="006D35A0"/>
    <w:pPr>
      <w:tabs>
        <w:tab w:val="center" w:pos="4513"/>
        <w:tab w:val="right" w:pos="9026"/>
      </w:tabs>
    </w:pPr>
  </w:style>
  <w:style w:type="character" w:customStyle="1" w:styleId="FooterChar">
    <w:name w:val="Footer Char"/>
    <w:basedOn w:val="DefaultParagraphFont"/>
    <w:link w:val="Footer"/>
    <w:uiPriority w:val="99"/>
    <w:rsid w:val="006D35A0"/>
    <w:rPr>
      <w:rFonts w:ascii="Times New Roman" w:hAnsi="Times New Roman" w:cs="Times New Roman"/>
      <w:sz w:val="20"/>
      <w:szCs w:val="24"/>
      <w:lang w:val="en-US"/>
    </w:rPr>
  </w:style>
  <w:style w:type="paragraph" w:styleId="BalloonText">
    <w:name w:val="Balloon Text"/>
    <w:basedOn w:val="Normal"/>
    <w:link w:val="BalloonTextChar"/>
    <w:uiPriority w:val="99"/>
    <w:semiHidden/>
    <w:unhideWhenUsed/>
    <w:rsid w:val="00EA1C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C2A"/>
    <w:rPr>
      <w:rFonts w:ascii="Segoe UI" w:hAnsi="Segoe UI" w:cs="Segoe UI"/>
      <w:sz w:val="18"/>
      <w:szCs w:val="18"/>
      <w:lang w:val="en-US"/>
    </w:rPr>
  </w:style>
  <w:style w:type="character" w:styleId="CommentReference">
    <w:name w:val="annotation reference"/>
    <w:basedOn w:val="DefaultParagraphFont"/>
    <w:uiPriority w:val="99"/>
    <w:semiHidden/>
    <w:unhideWhenUsed/>
    <w:rsid w:val="00251523"/>
    <w:rPr>
      <w:sz w:val="16"/>
      <w:szCs w:val="16"/>
    </w:rPr>
  </w:style>
  <w:style w:type="paragraph" w:styleId="CommentText">
    <w:name w:val="annotation text"/>
    <w:basedOn w:val="Normal"/>
    <w:link w:val="CommentTextChar"/>
    <w:uiPriority w:val="99"/>
    <w:semiHidden/>
    <w:unhideWhenUsed/>
    <w:rsid w:val="00251523"/>
    <w:rPr>
      <w:szCs w:val="20"/>
    </w:rPr>
  </w:style>
  <w:style w:type="character" w:customStyle="1" w:styleId="CommentTextChar">
    <w:name w:val="Comment Text Char"/>
    <w:basedOn w:val="DefaultParagraphFont"/>
    <w:link w:val="CommentText"/>
    <w:uiPriority w:val="99"/>
    <w:semiHidden/>
    <w:rsid w:val="00251523"/>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51523"/>
    <w:rPr>
      <w:b/>
      <w:bCs/>
    </w:rPr>
  </w:style>
  <w:style w:type="character" w:customStyle="1" w:styleId="CommentSubjectChar">
    <w:name w:val="Comment Subject Char"/>
    <w:basedOn w:val="CommentTextChar"/>
    <w:link w:val="CommentSubject"/>
    <w:uiPriority w:val="99"/>
    <w:semiHidden/>
    <w:rsid w:val="00251523"/>
    <w:rPr>
      <w:rFonts w:ascii="Times New Roman" w:hAnsi="Times New Roman" w:cs="Times New Roman"/>
      <w:b/>
      <w:bCs/>
      <w:sz w:val="20"/>
      <w:szCs w:val="20"/>
      <w:lang w:val="en-US"/>
    </w:rPr>
  </w:style>
  <w:style w:type="paragraph" w:styleId="Revision">
    <w:name w:val="Revision"/>
    <w:hidden/>
    <w:uiPriority w:val="99"/>
    <w:semiHidden/>
    <w:rsid w:val="00190765"/>
    <w:pPr>
      <w:spacing w:after="0" w:line="240" w:lineRule="auto"/>
    </w:pPr>
    <w:rPr>
      <w:rFonts w:ascii="Times New Roman"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350549">
      <w:bodyDiv w:val="1"/>
      <w:marLeft w:val="0"/>
      <w:marRight w:val="0"/>
      <w:marTop w:val="0"/>
      <w:marBottom w:val="0"/>
      <w:divBdr>
        <w:top w:val="none" w:sz="0" w:space="0" w:color="auto"/>
        <w:left w:val="none" w:sz="0" w:space="0" w:color="auto"/>
        <w:bottom w:val="none" w:sz="0" w:space="0" w:color="auto"/>
        <w:right w:val="none" w:sz="0" w:space="0" w:color="auto"/>
      </w:divBdr>
    </w:div>
    <w:div w:id="857306757">
      <w:bodyDiv w:val="1"/>
      <w:marLeft w:val="0"/>
      <w:marRight w:val="0"/>
      <w:marTop w:val="0"/>
      <w:marBottom w:val="0"/>
      <w:divBdr>
        <w:top w:val="none" w:sz="0" w:space="0" w:color="auto"/>
        <w:left w:val="none" w:sz="0" w:space="0" w:color="auto"/>
        <w:bottom w:val="none" w:sz="0" w:space="0" w:color="auto"/>
        <w:right w:val="none" w:sz="0" w:space="0" w:color="auto"/>
      </w:divBdr>
    </w:div>
    <w:div w:id="898974678">
      <w:bodyDiv w:val="1"/>
      <w:marLeft w:val="0"/>
      <w:marRight w:val="0"/>
      <w:marTop w:val="0"/>
      <w:marBottom w:val="0"/>
      <w:divBdr>
        <w:top w:val="none" w:sz="0" w:space="0" w:color="auto"/>
        <w:left w:val="none" w:sz="0" w:space="0" w:color="auto"/>
        <w:bottom w:val="none" w:sz="0" w:space="0" w:color="auto"/>
        <w:right w:val="none" w:sz="0" w:space="0" w:color="auto"/>
      </w:divBdr>
    </w:div>
    <w:div w:id="960459837">
      <w:bodyDiv w:val="1"/>
      <w:marLeft w:val="0"/>
      <w:marRight w:val="0"/>
      <w:marTop w:val="0"/>
      <w:marBottom w:val="0"/>
      <w:divBdr>
        <w:top w:val="none" w:sz="0" w:space="0" w:color="auto"/>
        <w:left w:val="none" w:sz="0" w:space="0" w:color="auto"/>
        <w:bottom w:val="none" w:sz="0" w:space="0" w:color="auto"/>
        <w:right w:val="none" w:sz="0" w:space="0" w:color="auto"/>
      </w:divBdr>
      <w:divsChild>
        <w:div w:id="960451142">
          <w:marLeft w:val="0"/>
          <w:marRight w:val="0"/>
          <w:marTop w:val="0"/>
          <w:marBottom w:val="0"/>
          <w:divBdr>
            <w:top w:val="none" w:sz="0" w:space="0" w:color="auto"/>
            <w:left w:val="none" w:sz="0" w:space="0" w:color="auto"/>
            <w:bottom w:val="none" w:sz="0" w:space="0" w:color="auto"/>
            <w:right w:val="none" w:sz="0" w:space="0" w:color="auto"/>
          </w:divBdr>
        </w:div>
        <w:div w:id="1704208897">
          <w:marLeft w:val="0"/>
          <w:marRight w:val="0"/>
          <w:marTop w:val="0"/>
          <w:marBottom w:val="0"/>
          <w:divBdr>
            <w:top w:val="none" w:sz="0" w:space="0" w:color="auto"/>
            <w:left w:val="none" w:sz="0" w:space="0" w:color="auto"/>
            <w:bottom w:val="none" w:sz="0" w:space="0" w:color="auto"/>
            <w:right w:val="none" w:sz="0" w:space="0" w:color="auto"/>
          </w:divBdr>
        </w:div>
        <w:div w:id="125205834">
          <w:marLeft w:val="0"/>
          <w:marRight w:val="0"/>
          <w:marTop w:val="0"/>
          <w:marBottom w:val="0"/>
          <w:divBdr>
            <w:top w:val="none" w:sz="0" w:space="0" w:color="auto"/>
            <w:left w:val="none" w:sz="0" w:space="0" w:color="auto"/>
            <w:bottom w:val="none" w:sz="0" w:space="0" w:color="auto"/>
            <w:right w:val="none" w:sz="0" w:space="0" w:color="auto"/>
          </w:divBdr>
        </w:div>
      </w:divsChild>
    </w:div>
    <w:div w:id="16976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5.xml"/><Relationship Id="rId23"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11F09-B951-49EE-B525-A8E5D127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1220</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Adeline Forrester</dc:creator>
  <cp:keywords/>
  <dc:description/>
  <cp:lastModifiedBy>Monique Bellamy</cp:lastModifiedBy>
  <cp:revision>4</cp:revision>
  <dcterms:created xsi:type="dcterms:W3CDTF">2022-12-07T22:32:00Z</dcterms:created>
  <dcterms:modified xsi:type="dcterms:W3CDTF">2022-12-07T22:37:00Z</dcterms:modified>
</cp:coreProperties>
</file>