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3668" w14:textId="689591E0" w:rsidR="000F31CE" w:rsidRPr="000F31CE" w:rsidRDefault="000F31CE">
      <w:pPr>
        <w:rPr>
          <w:b/>
          <w:bCs/>
        </w:rPr>
      </w:pPr>
      <w:r w:rsidRPr="000F31CE">
        <w:rPr>
          <w:b/>
          <w:bCs/>
        </w:rPr>
        <w:t xml:space="preserve">Organisation </w:t>
      </w:r>
    </w:p>
    <w:p w14:paraId="0B40993A" w14:textId="7DB20533" w:rsidR="000F31CE" w:rsidRDefault="000F31CE">
      <w:r>
        <w:t>South Western Sydney Local Health District</w:t>
      </w:r>
    </w:p>
    <w:p w14:paraId="69840480" w14:textId="77777777" w:rsidR="00C56D43" w:rsidRDefault="00C56D43" w:rsidP="000F31CE">
      <w:pPr>
        <w:rPr>
          <w:b/>
          <w:bCs/>
        </w:rPr>
      </w:pPr>
    </w:p>
    <w:p w14:paraId="4D4EE0DB" w14:textId="0D9007B3" w:rsidR="000F31CE" w:rsidRPr="000F31CE" w:rsidRDefault="000F31CE" w:rsidP="000F31CE">
      <w:pPr>
        <w:rPr>
          <w:b/>
          <w:bCs/>
        </w:rPr>
      </w:pPr>
      <w:r>
        <w:rPr>
          <w:b/>
          <w:bCs/>
        </w:rPr>
        <w:t xml:space="preserve">Question 1: </w:t>
      </w:r>
      <w:r w:rsidRPr="000F31CE">
        <w:rPr>
          <w:b/>
          <w:bCs/>
        </w:rPr>
        <w:t>Should the proposed legislative framework cover the out of home care setting?</w:t>
      </w:r>
    </w:p>
    <w:p w14:paraId="5085982D" w14:textId="1A823AC1" w:rsidR="000F31CE" w:rsidRPr="000F31CE" w:rsidRDefault="000F31CE" w:rsidP="000F31CE">
      <w:r w:rsidRPr="000F31CE">
        <w:t>It should cover OOHC to help give better consistency in the application and governance of positive behaviour</w:t>
      </w:r>
      <w:r>
        <w:t xml:space="preserve"> </w:t>
      </w:r>
      <w:r w:rsidRPr="000F31CE">
        <w:t>support and restrictive practices across related settings. For example:</w:t>
      </w:r>
    </w:p>
    <w:p w14:paraId="302BC4A6" w14:textId="30AD6D67" w:rsidR="000F31CE" w:rsidRPr="000F31CE" w:rsidRDefault="000F31CE" w:rsidP="000F31CE">
      <w:pPr>
        <w:pStyle w:val="ListParagraph"/>
        <w:numPr>
          <w:ilvl w:val="0"/>
          <w:numId w:val="3"/>
        </w:numPr>
      </w:pPr>
      <w:r w:rsidRPr="000F31CE">
        <w:t>Private agencies who deliver statutory out of home care are frequently also NDIS providers.</w:t>
      </w:r>
    </w:p>
    <w:p w14:paraId="1A23E707" w14:textId="18356F06" w:rsidR="000F31CE" w:rsidRPr="000F31CE" w:rsidRDefault="000F31CE" w:rsidP="000F31CE">
      <w:pPr>
        <w:pStyle w:val="ListParagraph"/>
        <w:numPr>
          <w:ilvl w:val="0"/>
          <w:numId w:val="3"/>
        </w:numPr>
      </w:pPr>
      <w:r w:rsidRPr="000F31CE">
        <w:t>There are children in out of home care settings (including statutory) who have disability / are NDIS participants.</w:t>
      </w:r>
    </w:p>
    <w:p w14:paraId="11B6FAAB" w14:textId="3CE944E8" w:rsidR="000F31CE" w:rsidRDefault="000F31CE" w:rsidP="000F31CE">
      <w:pPr>
        <w:pStyle w:val="ListParagraph"/>
        <w:numPr>
          <w:ilvl w:val="0"/>
          <w:numId w:val="3"/>
        </w:numPr>
      </w:pPr>
      <w:r w:rsidRPr="000F31CE">
        <w:t>Transitions from highly restrictive OOHC models for vulnerable young people (e.g. the Sherwood program) to the</w:t>
      </w:r>
      <w:r>
        <w:t xml:space="preserve"> </w:t>
      </w:r>
      <w:r w:rsidRPr="000F31CE">
        <w:t>NDIS setting often fail because of the fundamentally different approach to restrictive practices (e.g. highly restrictive</w:t>
      </w:r>
      <w:r>
        <w:t xml:space="preserve"> </w:t>
      </w:r>
      <w:r w:rsidRPr="000F31CE">
        <w:t>to minimally restrictive). An overarching legislative framework could support smoother and more successful</w:t>
      </w:r>
      <w:r>
        <w:t xml:space="preserve"> </w:t>
      </w:r>
      <w:r w:rsidRPr="000F31CE">
        <w:t>transitions to the disability support system.</w:t>
      </w:r>
    </w:p>
    <w:p w14:paraId="713C90D7" w14:textId="49F6D8BB" w:rsidR="000F31CE" w:rsidRPr="000F31CE" w:rsidRDefault="000F31CE" w:rsidP="000F31CE">
      <w:pPr>
        <w:rPr>
          <w:b/>
          <w:bCs/>
        </w:rPr>
      </w:pPr>
      <w:r>
        <w:rPr>
          <w:b/>
          <w:bCs/>
        </w:rPr>
        <w:t xml:space="preserve">Question 2: </w:t>
      </w:r>
      <w:r w:rsidRPr="000F31CE">
        <w:rPr>
          <w:b/>
          <w:bCs/>
        </w:rPr>
        <w:t>Should the proposed legislative framework cover any other setting?</w:t>
      </w:r>
    </w:p>
    <w:p w14:paraId="3FEC8DDC" w14:textId="00A1CCE9" w:rsidR="000F31CE" w:rsidRPr="000F31CE" w:rsidRDefault="000F31CE" w:rsidP="000F31CE">
      <w:r w:rsidRPr="000F31CE">
        <w:t>Yes. The legislative framework should cover all NSW Government service settings where other relevant legislation</w:t>
      </w:r>
      <w:r>
        <w:t xml:space="preserve"> </w:t>
      </w:r>
      <w:r w:rsidRPr="000F31CE">
        <w:t>does not apply.</w:t>
      </w:r>
    </w:p>
    <w:p w14:paraId="7A799E5A" w14:textId="6566893D" w:rsidR="000F31CE" w:rsidRPr="000F31CE" w:rsidRDefault="000F31CE" w:rsidP="000F31CE">
      <w:r w:rsidRPr="000F31CE">
        <w:t>For example, healthcare settings not subject to the Mental Health Act should be covered (e.g. non-gazetted / general</w:t>
      </w:r>
      <w:r>
        <w:t xml:space="preserve"> </w:t>
      </w:r>
      <w:r w:rsidRPr="000F31CE">
        <w:t>hospital wards). People subject to restrictive practices still come to hospital for health treatment and these are often</w:t>
      </w:r>
      <w:r>
        <w:t xml:space="preserve"> </w:t>
      </w:r>
      <w:r w:rsidRPr="000F31CE">
        <w:t>complex and difficult admissions. Health care staff are challenged by translating the behaviour support framework</w:t>
      </w:r>
      <w:r>
        <w:t xml:space="preserve"> </w:t>
      </w:r>
      <w:r w:rsidRPr="000F31CE">
        <w:t>and restrictive practices into the hospital setting. Medications considered chemical restraints under NDIS legislation</w:t>
      </w:r>
      <w:r>
        <w:t xml:space="preserve"> </w:t>
      </w:r>
      <w:r w:rsidRPr="000F31CE">
        <w:t>can be easily prescribed in hospital without positive behaviour support being applied. This then creates barriers to</w:t>
      </w:r>
      <w:r>
        <w:t xml:space="preserve"> </w:t>
      </w:r>
      <w:r w:rsidRPr="000F31CE">
        <w:t>transitioning to the community when the NDIS positive behaviour support framework then needs to be applied from</w:t>
      </w:r>
      <w:r>
        <w:t xml:space="preserve"> </w:t>
      </w:r>
      <w:r w:rsidRPr="000F31CE">
        <w:t>the beginning.</w:t>
      </w:r>
    </w:p>
    <w:p w14:paraId="2EC202A8" w14:textId="40C5E1BF" w:rsidR="000F31CE" w:rsidRDefault="000F31CE" w:rsidP="000F31CE">
      <w:r w:rsidRPr="000F31CE">
        <w:t>Consistency in approach will improve the care of individuals who receive care and support from multiple different</w:t>
      </w:r>
      <w:r>
        <w:t xml:space="preserve"> </w:t>
      </w:r>
      <w:r w:rsidRPr="000F31CE">
        <w:t>service settings (i.e. disability + out of home care + education + health care).</w:t>
      </w:r>
    </w:p>
    <w:p w14:paraId="31749D78" w14:textId="587F35D7" w:rsidR="000F31CE" w:rsidRPr="000F31CE" w:rsidRDefault="000F31CE" w:rsidP="000F31CE">
      <w:pPr>
        <w:rPr>
          <w:b/>
          <w:bCs/>
        </w:rPr>
      </w:pPr>
      <w:r>
        <w:rPr>
          <w:b/>
          <w:bCs/>
        </w:rPr>
        <w:t xml:space="preserve">Question 3: </w:t>
      </w:r>
      <w:r w:rsidRPr="000F31CE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0F31CE">
        <w:rPr>
          <w:b/>
          <w:bCs/>
        </w:rPr>
        <w:t>restrictive practices in the disability service provision setting and the aged care setting?</w:t>
      </w:r>
    </w:p>
    <w:p w14:paraId="15229FA2" w14:textId="2CDFCB00" w:rsidR="000F31CE" w:rsidRPr="000F31CE" w:rsidRDefault="000F31CE" w:rsidP="000F31CE">
      <w:pPr>
        <w:pStyle w:val="ListParagraph"/>
        <w:numPr>
          <w:ilvl w:val="0"/>
          <w:numId w:val="7"/>
        </w:numPr>
      </w:pPr>
      <w:r w:rsidRPr="000F31CE">
        <w:lastRenderedPageBreak/>
        <w:t>Transitions between different settings are complicated by needing to completely re-work behaviour support</w:t>
      </w:r>
      <w:r>
        <w:t xml:space="preserve"> </w:t>
      </w:r>
      <w:r w:rsidRPr="000F31CE">
        <w:t>practices when a person moves between aged care, disability and health settings.</w:t>
      </w:r>
    </w:p>
    <w:p w14:paraId="36CF37DD" w14:textId="3F30E1F3" w:rsidR="000F31CE" w:rsidRPr="000F31CE" w:rsidRDefault="000F31CE" w:rsidP="000F31CE">
      <w:pPr>
        <w:pStyle w:val="ListParagraph"/>
        <w:numPr>
          <w:ilvl w:val="0"/>
          <w:numId w:val="7"/>
        </w:numPr>
      </w:pPr>
      <w:r w:rsidRPr="000F31CE">
        <w:t>Health care staff who work with people from both settings need to understand and apply two different approaches</w:t>
      </w:r>
      <w:r>
        <w:t xml:space="preserve"> </w:t>
      </w:r>
      <w:r w:rsidRPr="000F31CE">
        <w:t>which causes confusion, duplication and delays to care. Quality of care can be compromised by this confusion.</w:t>
      </w:r>
      <w:r>
        <w:t xml:space="preserve"> </w:t>
      </w:r>
      <w:r w:rsidRPr="000F31CE">
        <w:t>People can spend much longer in hospital as a result. They may need more intensive behaviour support in the</w:t>
      </w:r>
      <w:r>
        <w:t xml:space="preserve"> </w:t>
      </w:r>
      <w:r w:rsidRPr="000F31CE">
        <w:t>community as a result of institutionalisation that occurs from extended stays in an acute healthcare setting.</w:t>
      </w:r>
    </w:p>
    <w:p w14:paraId="2CDA6064" w14:textId="380DC1E5" w:rsidR="000F31CE" w:rsidRDefault="000F31CE" w:rsidP="000F31CE">
      <w:pPr>
        <w:pStyle w:val="ListParagraph"/>
        <w:numPr>
          <w:ilvl w:val="0"/>
          <w:numId w:val="7"/>
        </w:numPr>
      </w:pPr>
      <w:r w:rsidRPr="000F31CE">
        <w:t>Doctors are often unclear about how chemically restraining medications are viewed and implemented in the two</w:t>
      </w:r>
      <w:r>
        <w:t xml:space="preserve"> </w:t>
      </w:r>
      <w:r w:rsidRPr="000F31CE">
        <w:t>different settings.</w:t>
      </w:r>
    </w:p>
    <w:p w14:paraId="3AFAD977" w14:textId="41E68A42" w:rsidR="000F31CE" w:rsidRPr="000F31CE" w:rsidRDefault="000F31CE" w:rsidP="000F31CE">
      <w:pPr>
        <w:rPr>
          <w:b/>
          <w:bCs/>
        </w:rPr>
      </w:pPr>
      <w:r>
        <w:rPr>
          <w:b/>
          <w:bCs/>
        </w:rPr>
        <w:t xml:space="preserve">Question 4: </w:t>
      </w:r>
      <w:r w:rsidRPr="000F31CE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0F31CE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0F31CE">
        <w:rPr>
          <w:b/>
          <w:bCs/>
        </w:rPr>
        <w:t>Recommendation 6.35(b)?</w:t>
      </w:r>
    </w:p>
    <w:p w14:paraId="69C60A50" w14:textId="3A3BC848" w:rsidR="000F31CE" w:rsidRPr="000F31CE" w:rsidRDefault="000F31CE" w:rsidP="000F31CE">
      <w:r w:rsidRPr="000F31CE">
        <w:t>Yes. The legislative framework should cover all NSW Government service settings where other relevant legislation</w:t>
      </w:r>
      <w:r>
        <w:t xml:space="preserve"> </w:t>
      </w:r>
      <w:r w:rsidRPr="000F31CE">
        <w:t>does not apply.</w:t>
      </w:r>
    </w:p>
    <w:p w14:paraId="18F66EAE" w14:textId="0509D00D" w:rsidR="000F31CE" w:rsidRDefault="000F31CE" w:rsidP="000F31CE">
      <w:r w:rsidRPr="000F31CE">
        <w:t>Consistency in approach will improve the care of individuals who receive care and support from multiple different</w:t>
      </w:r>
      <w:r>
        <w:t xml:space="preserve"> </w:t>
      </w:r>
      <w:r w:rsidRPr="000F31CE">
        <w:t>service settings (i.e. disability + out of home care + education + health care).</w:t>
      </w:r>
    </w:p>
    <w:p w14:paraId="67BF4D7E" w14:textId="04EF5D49" w:rsidR="000F31CE" w:rsidRPr="000F31CE" w:rsidRDefault="000F31CE" w:rsidP="000F31CE">
      <w:pPr>
        <w:rPr>
          <w:b/>
          <w:bCs/>
        </w:rPr>
      </w:pPr>
      <w:r>
        <w:rPr>
          <w:b/>
          <w:bCs/>
        </w:rPr>
        <w:t xml:space="preserve">Question 5: </w:t>
      </w:r>
      <w:r w:rsidRPr="000F31CE">
        <w:rPr>
          <w:b/>
          <w:bCs/>
        </w:rPr>
        <w:t>Are there any other principles that should be considered?</w:t>
      </w:r>
    </w:p>
    <w:p w14:paraId="7E4F3FB5" w14:textId="6C571C00" w:rsidR="000F31CE" w:rsidRDefault="000F31CE" w:rsidP="000F31CE">
      <w:r w:rsidRPr="000F31CE">
        <w:t xml:space="preserve">Transitions of care </w:t>
      </w:r>
      <w:r w:rsidRPr="000F31CE">
        <w:rPr>
          <w:rFonts w:hint="eastAsia"/>
        </w:rPr>
        <w:t>–</w:t>
      </w:r>
      <w:r w:rsidRPr="000F31CE">
        <w:t xml:space="preserve"> the legislation should specifically consider how these principles apply when people transition</w:t>
      </w:r>
      <w:r>
        <w:t xml:space="preserve"> </w:t>
      </w:r>
      <w:r w:rsidRPr="000F31CE">
        <w:t>between these settings, as this is where significant risks and gaps appear.</w:t>
      </w:r>
      <w:r>
        <w:t xml:space="preserve"> </w:t>
      </w:r>
      <w:r w:rsidRPr="000F31CE">
        <w:t>For example, a child or young person with disability at school, a person with disability receiving medical care in</w:t>
      </w:r>
      <w:r>
        <w:t xml:space="preserve"> </w:t>
      </w:r>
      <w:r w:rsidRPr="000F31CE">
        <w:t>hospital, a person with disability in custody transferred to a hospital for medical treatment, a person brought into</w:t>
      </w:r>
      <w:r>
        <w:t xml:space="preserve"> </w:t>
      </w:r>
      <w:r w:rsidRPr="000F31CE">
        <w:t>custody who has a disability, a person in supported independent living receiving community nursing treatment in</w:t>
      </w:r>
      <w:r>
        <w:t xml:space="preserve"> </w:t>
      </w:r>
      <w:r w:rsidRPr="000F31CE">
        <w:t>their home.</w:t>
      </w:r>
    </w:p>
    <w:p w14:paraId="347C7745" w14:textId="7D55BBE7" w:rsidR="000F31CE" w:rsidRPr="000F31CE" w:rsidRDefault="000F31CE" w:rsidP="000F31CE">
      <w:pPr>
        <w:rPr>
          <w:b/>
          <w:bCs/>
        </w:rPr>
      </w:pPr>
      <w:r>
        <w:rPr>
          <w:b/>
          <w:bCs/>
        </w:rPr>
        <w:t xml:space="preserve">Question 6: </w:t>
      </w:r>
      <w:r w:rsidRPr="000F31CE">
        <w:rPr>
          <w:b/>
          <w:bCs/>
        </w:rPr>
        <w:t>Should a legislative framework prohibit any practices? If so, which practices and in which settings?</w:t>
      </w:r>
    </w:p>
    <w:p w14:paraId="200CC228" w14:textId="5D169AC1" w:rsidR="000F31CE" w:rsidRDefault="000F31CE" w:rsidP="000F31CE">
      <w:r w:rsidRPr="000F31CE">
        <w:t>Nil comment</w:t>
      </w:r>
      <w:r>
        <w:t>.</w:t>
      </w:r>
    </w:p>
    <w:p w14:paraId="2BA53199" w14:textId="6946C906" w:rsidR="000F31CE" w:rsidRPr="000F31CE" w:rsidRDefault="000F31CE" w:rsidP="000F31CE">
      <w:pPr>
        <w:rPr>
          <w:b/>
          <w:bCs/>
        </w:rPr>
      </w:pPr>
      <w:r>
        <w:rPr>
          <w:b/>
          <w:bCs/>
        </w:rPr>
        <w:t xml:space="preserve">Question 7a: </w:t>
      </w:r>
      <w:r w:rsidRPr="000F31CE">
        <w:rPr>
          <w:b/>
          <w:bCs/>
        </w:rPr>
        <w:t>Do you agree that the framework should use the NDIS definitions of restrictive practices?</w:t>
      </w:r>
    </w:p>
    <w:p w14:paraId="7B6C84AF" w14:textId="77777777" w:rsidR="000F31CE" w:rsidRPr="000F31CE" w:rsidRDefault="000F31CE" w:rsidP="000F31CE">
      <w:r w:rsidRPr="000F31CE">
        <w:t>Yes. The definition of restrictive practices should be consistent across settings.</w:t>
      </w:r>
    </w:p>
    <w:p w14:paraId="5DEC652F" w14:textId="5E3FA30F" w:rsidR="000F31CE" w:rsidRDefault="000F31CE" w:rsidP="000F31CE">
      <w:r w:rsidRPr="000F31CE">
        <w:t>It would be beneficial to have the Senior Practitioner clarify how the consistent definitions apply specifically to</w:t>
      </w:r>
      <w:r>
        <w:t xml:space="preserve"> </w:t>
      </w:r>
      <w:r w:rsidRPr="000F31CE">
        <w:t>different settings and situations.</w:t>
      </w:r>
    </w:p>
    <w:p w14:paraId="1B10E9CD" w14:textId="76AABC0F" w:rsidR="000F31CE" w:rsidRPr="000F31CE" w:rsidRDefault="000F31CE" w:rsidP="000F31CE">
      <w:pPr>
        <w:rPr>
          <w:b/>
          <w:bCs/>
        </w:rPr>
      </w:pPr>
      <w:r>
        <w:rPr>
          <w:b/>
          <w:bCs/>
        </w:rPr>
        <w:lastRenderedPageBreak/>
        <w:t xml:space="preserve">Question 7b: </w:t>
      </w:r>
      <w:r w:rsidRPr="000F31CE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0F31CE">
        <w:rPr>
          <w:b/>
          <w:bCs/>
        </w:rPr>
        <w:t>definitions apply in different situations?</w:t>
      </w:r>
    </w:p>
    <w:p w14:paraId="4AAE1DF8" w14:textId="2BC18702" w:rsidR="000F31CE" w:rsidRDefault="000F31CE" w:rsidP="000F31CE">
      <w:r w:rsidRPr="000F31CE">
        <w:t>It would be beneficial to have the Senior Practitioner clarify how the consistent definitions apply specifically to</w:t>
      </w:r>
      <w:r>
        <w:t xml:space="preserve"> </w:t>
      </w:r>
      <w:r w:rsidRPr="000F31CE">
        <w:t>different settings and situations.</w:t>
      </w:r>
    </w:p>
    <w:p w14:paraId="1EE1A0B6" w14:textId="4D55437A" w:rsidR="000F31CE" w:rsidRPr="000F31CE" w:rsidRDefault="000F31CE" w:rsidP="000F31CE">
      <w:pPr>
        <w:rPr>
          <w:b/>
          <w:bCs/>
        </w:rPr>
      </w:pPr>
      <w:r>
        <w:rPr>
          <w:b/>
          <w:bCs/>
        </w:rPr>
        <w:t xml:space="preserve">Question 8: </w:t>
      </w:r>
      <w:r w:rsidRPr="000F31CE">
        <w:rPr>
          <w:b/>
          <w:bCs/>
        </w:rPr>
        <w:t>What role should the Senior Practitioner play in regulating behaviour support plans (BSP)?</w:t>
      </w:r>
    </w:p>
    <w:p w14:paraId="76A4C5E0" w14:textId="158410CA" w:rsidR="000F31CE" w:rsidRPr="000F31CE" w:rsidRDefault="000F31CE" w:rsidP="000F31CE">
      <w:pPr>
        <w:pStyle w:val="ListParagraph"/>
        <w:numPr>
          <w:ilvl w:val="0"/>
          <w:numId w:val="11"/>
        </w:numPr>
      </w:pPr>
      <w:r w:rsidRPr="000F31CE">
        <w:t xml:space="preserve">Regulation of qualifications and credentialling </w:t>
      </w:r>
      <w:r w:rsidRPr="000F31CE">
        <w:rPr>
          <w:rFonts w:hint="eastAsia"/>
        </w:rPr>
        <w:t>–</w:t>
      </w:r>
      <w:r w:rsidRPr="000F31CE">
        <w:t xml:space="preserve"> this would be extremely beneficial to improve the quality of</w:t>
      </w:r>
      <w:r>
        <w:t xml:space="preserve"> </w:t>
      </w:r>
      <w:r w:rsidRPr="000F31CE">
        <w:t>behaviour assessment, behaviour intervention support and behaviour support plans. There is currently enormous</w:t>
      </w:r>
      <w:r>
        <w:t xml:space="preserve"> </w:t>
      </w:r>
      <w:r w:rsidRPr="000F31CE">
        <w:t>variation in the quality of behaviour support and plans under the current credentialling process.</w:t>
      </w:r>
    </w:p>
    <w:p w14:paraId="2E4F46BF" w14:textId="1DA74AAE" w:rsidR="000F31CE" w:rsidRPr="000F31CE" w:rsidRDefault="000F31CE" w:rsidP="000F31CE">
      <w:pPr>
        <w:pStyle w:val="ListParagraph"/>
        <w:numPr>
          <w:ilvl w:val="0"/>
          <w:numId w:val="11"/>
        </w:numPr>
      </w:pPr>
      <w:r w:rsidRPr="000F31CE">
        <w:t xml:space="preserve">Creation of education and credentials </w:t>
      </w:r>
      <w:r w:rsidRPr="000F31CE">
        <w:rPr>
          <w:rFonts w:hint="eastAsia"/>
        </w:rPr>
        <w:t>–</w:t>
      </w:r>
      <w:r w:rsidRPr="000F31CE">
        <w:t xml:space="preserve"> it may be necessary to create specific micro-qualifications in behaviour</w:t>
      </w:r>
      <w:r>
        <w:t xml:space="preserve"> </w:t>
      </w:r>
      <w:r w:rsidRPr="000F31CE">
        <w:t>intervention support where professional qualifications do</w:t>
      </w:r>
      <w:r>
        <w:t>n’</w:t>
      </w:r>
      <w:r w:rsidRPr="000F31CE">
        <w:t>t exist or sufficiently cover behaviour support and</w:t>
      </w:r>
      <w:r>
        <w:t xml:space="preserve"> </w:t>
      </w:r>
      <w:r w:rsidRPr="000F31CE">
        <w:t>restrictive practices.</w:t>
      </w:r>
    </w:p>
    <w:p w14:paraId="53518FB1" w14:textId="353A16C0" w:rsidR="000F31CE" w:rsidRPr="000F31CE" w:rsidRDefault="000F31CE" w:rsidP="000F31CE">
      <w:pPr>
        <w:pStyle w:val="ListParagraph"/>
        <w:numPr>
          <w:ilvl w:val="0"/>
          <w:numId w:val="11"/>
        </w:numPr>
      </w:pPr>
      <w:r w:rsidRPr="000F31CE">
        <w:t xml:space="preserve">Governance and auditing </w:t>
      </w:r>
      <w:r w:rsidRPr="000F31CE">
        <w:rPr>
          <w:rFonts w:hint="eastAsia"/>
        </w:rPr>
        <w:t>–</w:t>
      </w:r>
      <w:r w:rsidRPr="000F31CE">
        <w:t xml:space="preserve"> the Senior Practitioner</w:t>
      </w:r>
      <w:r>
        <w:t>’</w:t>
      </w:r>
      <w:r w:rsidRPr="000F31CE">
        <w:t>s office could be responsible for auditing compliance with the</w:t>
      </w:r>
      <w:r>
        <w:t xml:space="preserve"> </w:t>
      </w:r>
      <w:r w:rsidRPr="000F31CE">
        <w:t>legislative framework. This could be done in a similar way to how the Australian Council on Healthcare Standards</w:t>
      </w:r>
      <w:r>
        <w:t xml:space="preserve"> </w:t>
      </w:r>
      <w:r w:rsidRPr="000F31CE">
        <w:t>audits healthcare settings or the Aged Care Commission audits aged care settings. Using these models as an</w:t>
      </w:r>
      <w:r>
        <w:t xml:space="preserve"> </w:t>
      </w:r>
      <w:r w:rsidRPr="000F31CE">
        <w:t>example is particularly useful given that medication prescription and management (chemical restraint) is part of</w:t>
      </w:r>
      <w:r>
        <w:t xml:space="preserve"> </w:t>
      </w:r>
      <w:r w:rsidRPr="000F31CE">
        <w:t>behaviour support for people with complex needs.</w:t>
      </w:r>
    </w:p>
    <w:p w14:paraId="793924B1" w14:textId="2D51F6EF" w:rsidR="000F31CE" w:rsidRDefault="000F31CE" w:rsidP="000F31CE">
      <w:pPr>
        <w:pStyle w:val="ListParagraph"/>
        <w:numPr>
          <w:ilvl w:val="0"/>
          <w:numId w:val="11"/>
        </w:numPr>
      </w:pPr>
      <w:r w:rsidRPr="000F31CE">
        <w:t xml:space="preserve">(Accessible) Communication about behaviour support and restrictive practices </w:t>
      </w:r>
      <w:r w:rsidRPr="000F31CE">
        <w:rPr>
          <w:rFonts w:hint="eastAsia"/>
        </w:rPr>
        <w:t>–</w:t>
      </w:r>
      <w:r w:rsidRPr="000F31CE">
        <w:t xml:space="preserve"> making sure behaviour support</w:t>
      </w:r>
      <w:r>
        <w:t xml:space="preserve"> </w:t>
      </w:r>
      <w:r w:rsidRPr="000F31CE">
        <w:t>and restrictive practices can be understood by people with disability and their support networks. Family members</w:t>
      </w:r>
      <w:r>
        <w:t xml:space="preserve"> </w:t>
      </w:r>
      <w:r w:rsidRPr="000F31CE">
        <w:t>are important partners in care but it</w:t>
      </w:r>
      <w:r>
        <w:t>’</w:t>
      </w:r>
      <w:r w:rsidRPr="000F31CE">
        <w:t>s not appropriate to rely on volunteers and family members to explain complex</w:t>
      </w:r>
      <w:r>
        <w:t xml:space="preserve"> </w:t>
      </w:r>
      <w:r w:rsidRPr="000F31CE">
        <w:t>concepts like use of medication.</w:t>
      </w:r>
    </w:p>
    <w:p w14:paraId="58DBE2ED" w14:textId="5C14942B" w:rsidR="000F31CE" w:rsidRPr="000F31CE" w:rsidRDefault="000F31CE" w:rsidP="000F31CE">
      <w:pPr>
        <w:rPr>
          <w:b/>
          <w:bCs/>
        </w:rPr>
      </w:pPr>
      <w:r>
        <w:rPr>
          <w:b/>
          <w:bCs/>
        </w:rPr>
        <w:t xml:space="preserve">Question 9: </w:t>
      </w:r>
      <w:r w:rsidRPr="000F31CE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0F31CE">
        <w:rPr>
          <w:b/>
          <w:bCs/>
        </w:rPr>
        <w:t>(BSP)?</w:t>
      </w:r>
    </w:p>
    <w:p w14:paraId="03CC7803" w14:textId="4861494E" w:rsidR="000F31CE" w:rsidRDefault="000F31CE" w:rsidP="000F31CE">
      <w:r w:rsidRPr="000F31CE">
        <w:t>It should require that a short summary (no more than 4 pages) of the behaviour support strategies and restrictive</w:t>
      </w:r>
      <w:r>
        <w:t xml:space="preserve"> </w:t>
      </w:r>
      <w:r w:rsidRPr="000F31CE">
        <w:t>practices be prepared to support transitions between service settings. Many behaviour support plans are 30+ pages,</w:t>
      </w:r>
      <w:r>
        <w:t xml:space="preserve"> </w:t>
      </w:r>
      <w:r w:rsidRPr="000F31CE">
        <w:t>meaning that the key information can</w:t>
      </w:r>
      <w:r>
        <w:t>’</w:t>
      </w:r>
      <w:r w:rsidRPr="000F31CE">
        <w:t>t be extracted quickly in urgent circumstances / transitions e.g. a person</w:t>
      </w:r>
      <w:r>
        <w:t xml:space="preserve"> </w:t>
      </w:r>
      <w:r w:rsidRPr="000F31CE">
        <w:t>brought to hospital in an ambulance for urgent medical treatment.</w:t>
      </w:r>
    </w:p>
    <w:p w14:paraId="393A8AC0" w14:textId="049DEA2D" w:rsidR="006A14F8" w:rsidRPr="006A14F8" w:rsidRDefault="006A14F8" w:rsidP="006A14F8">
      <w:pPr>
        <w:rPr>
          <w:b/>
          <w:bCs/>
        </w:rPr>
      </w:pPr>
      <w:r>
        <w:rPr>
          <w:b/>
          <w:bCs/>
        </w:rPr>
        <w:t xml:space="preserve">Question 10a: </w:t>
      </w:r>
      <w:r w:rsidRPr="006A14F8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6A14F8">
        <w:rPr>
          <w:b/>
          <w:bCs/>
        </w:rPr>
        <w:t>practices without separate Senior Practitioner authorisation (a partially delegated model)?</w:t>
      </w:r>
    </w:p>
    <w:p w14:paraId="31AFDB69" w14:textId="4DE865C9" w:rsidR="006A14F8" w:rsidRPr="006A14F8" w:rsidRDefault="006A14F8" w:rsidP="006A14F8">
      <w:r w:rsidRPr="006A14F8">
        <w:lastRenderedPageBreak/>
        <w:t>It is unclear in the consultation paper if an APO is different from a NDIS approved Behaviour Support Practitioner,</w:t>
      </w:r>
      <w:r>
        <w:t xml:space="preserve"> </w:t>
      </w:r>
      <w:r w:rsidRPr="006A14F8">
        <w:t>Behaviour Support Practitioners are usually not employed by the provider(s) implementing the behaviour support</w:t>
      </w:r>
      <w:r>
        <w:t xml:space="preserve"> </w:t>
      </w:r>
      <w:r w:rsidRPr="006A14F8">
        <w:t>plan. This approach is supported by the NDIA to reduce the risk of fraud and mismanagement. This feedback is</w:t>
      </w:r>
      <w:r>
        <w:t xml:space="preserve"> </w:t>
      </w:r>
      <w:r w:rsidRPr="006A14F8">
        <w:t>given assuming that an APO is not the person</w:t>
      </w:r>
      <w:r w:rsidRPr="006A14F8">
        <w:rPr>
          <w:rFonts w:hint="eastAsia"/>
        </w:rPr>
        <w:t>’</w:t>
      </w:r>
      <w:r w:rsidRPr="006A14F8">
        <w:t>s behaviour support practitioner and is employed by the</w:t>
      </w:r>
      <w:r>
        <w:t xml:space="preserve"> </w:t>
      </w:r>
      <w:r w:rsidRPr="006A14F8">
        <w:t>implementing provider.</w:t>
      </w:r>
    </w:p>
    <w:p w14:paraId="0901FE81" w14:textId="4C7AC7BD" w:rsidR="006A14F8" w:rsidRDefault="006A14F8" w:rsidP="006A14F8">
      <w:r w:rsidRPr="006A14F8">
        <w:t>Both models are possible. The partially delegated model offers better efficiency, but would need stronger</w:t>
      </w:r>
      <w:r>
        <w:t xml:space="preserve"> </w:t>
      </w:r>
      <w:r w:rsidRPr="006A14F8">
        <w:t>governance of the APOs (i.e. very specific qualifications and oversight). The two step model would possibly require</w:t>
      </w:r>
      <w:r>
        <w:t xml:space="preserve"> </w:t>
      </w:r>
      <w:r w:rsidRPr="006A14F8">
        <w:t>more staff to make sure that authorisation can be done quickly and efficiently.</w:t>
      </w:r>
    </w:p>
    <w:p w14:paraId="464FF15F" w14:textId="7A232AF3" w:rsidR="006A14F8" w:rsidRPr="006A14F8" w:rsidRDefault="006A14F8" w:rsidP="006A14F8">
      <w:pPr>
        <w:rPr>
          <w:b/>
          <w:bCs/>
        </w:rPr>
      </w:pPr>
      <w:r>
        <w:rPr>
          <w:b/>
          <w:bCs/>
        </w:rPr>
        <w:t xml:space="preserve">Question 10b: </w:t>
      </w:r>
      <w:r w:rsidRPr="006A14F8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6A14F8">
        <w:rPr>
          <w:b/>
          <w:bCs/>
        </w:rPr>
        <w:t>practices, with final authorisation provided in all cases by the Senior Practitioner (a two step model)?</w:t>
      </w:r>
    </w:p>
    <w:p w14:paraId="4AF08AB8" w14:textId="35D74D7E" w:rsidR="006A14F8" w:rsidRPr="006A14F8" w:rsidRDefault="006A14F8" w:rsidP="006A14F8">
      <w:r w:rsidRPr="006A14F8">
        <w:t>It is unclear in the consultation paper if an APO is different from a NDIS approved Behaviour Support Practitioner,</w:t>
      </w:r>
      <w:r>
        <w:t xml:space="preserve"> </w:t>
      </w:r>
      <w:r w:rsidRPr="006A14F8">
        <w:t>Behaviour Support Practitioners are usually not employed by the provider(s) implementing the behaviour support</w:t>
      </w:r>
      <w:r>
        <w:t xml:space="preserve"> </w:t>
      </w:r>
      <w:r w:rsidRPr="006A14F8">
        <w:t>plan. This approach is supported by the NDIA to reduce the risk of fraud and mismanagement. This feedback is</w:t>
      </w:r>
      <w:r>
        <w:t xml:space="preserve"> </w:t>
      </w:r>
      <w:r w:rsidRPr="006A14F8">
        <w:t>given assuming that an APO is not the person</w:t>
      </w:r>
      <w:r w:rsidRPr="006A14F8">
        <w:rPr>
          <w:rFonts w:hint="eastAsia"/>
        </w:rPr>
        <w:t>’</w:t>
      </w:r>
      <w:r w:rsidRPr="006A14F8">
        <w:t>s behaviour support practitioner and is employed by the</w:t>
      </w:r>
      <w:r>
        <w:t xml:space="preserve"> </w:t>
      </w:r>
      <w:r w:rsidRPr="006A14F8">
        <w:t>implementing provider.</w:t>
      </w:r>
    </w:p>
    <w:p w14:paraId="3E30AF38" w14:textId="76DF9585" w:rsidR="006A14F8" w:rsidRDefault="006A14F8" w:rsidP="006A14F8">
      <w:r w:rsidRPr="006A14F8">
        <w:t>Both models are possible. The partially delegated model offers better efficiency, but would need stronger</w:t>
      </w:r>
      <w:r>
        <w:t xml:space="preserve"> </w:t>
      </w:r>
      <w:r w:rsidRPr="006A14F8">
        <w:t>governance of the APOs (i.e. very specific qualifications and oversight). The two step model would possibly require</w:t>
      </w:r>
      <w:r>
        <w:t xml:space="preserve"> </w:t>
      </w:r>
      <w:r w:rsidRPr="006A14F8">
        <w:t>more staff to make sure that authorisation can be done quickly and efficiently.</w:t>
      </w:r>
    </w:p>
    <w:p w14:paraId="6C5683BB" w14:textId="0E152192" w:rsidR="006A14F8" w:rsidRPr="006A14F8" w:rsidRDefault="006A14F8" w:rsidP="006A14F8">
      <w:pPr>
        <w:rPr>
          <w:b/>
          <w:bCs/>
        </w:rPr>
      </w:pPr>
      <w:r>
        <w:rPr>
          <w:b/>
          <w:bCs/>
        </w:rPr>
        <w:t xml:space="preserve">Question 10c: </w:t>
      </w:r>
      <w:r w:rsidRPr="006A14F8">
        <w:rPr>
          <w:b/>
          <w:bCs/>
        </w:rPr>
        <w:t>What would be the benefits and risks of the above two models for Authorised Program Officers (APOs)?</w:t>
      </w:r>
    </w:p>
    <w:p w14:paraId="0CDB657E" w14:textId="7F0640FB" w:rsidR="006A14F8" w:rsidRPr="006A14F8" w:rsidRDefault="006A14F8" w:rsidP="006A14F8">
      <w:r w:rsidRPr="006A14F8">
        <w:t>It is unclear in the consultation paper if an APO is different from a NDIS approved Behaviour Support Practitioner,</w:t>
      </w:r>
      <w:r>
        <w:t xml:space="preserve"> </w:t>
      </w:r>
      <w:r w:rsidRPr="006A14F8">
        <w:t>Behaviour Support Practitioners are usually not employed by the provider(s) implementing the behaviour support</w:t>
      </w:r>
      <w:r>
        <w:t xml:space="preserve"> </w:t>
      </w:r>
      <w:r w:rsidRPr="006A14F8">
        <w:t>plan. This approach is supported by the NDIA to reduce the risk of fraud and mismanagement. This feedback is</w:t>
      </w:r>
    </w:p>
    <w:p w14:paraId="15A5B2B7" w14:textId="19C1079B" w:rsidR="006A14F8" w:rsidRPr="006A14F8" w:rsidRDefault="006A14F8" w:rsidP="006A14F8">
      <w:r w:rsidRPr="006A14F8">
        <w:t>given assuming that an APO is not the person</w:t>
      </w:r>
      <w:r w:rsidRPr="006A14F8">
        <w:rPr>
          <w:rFonts w:hint="eastAsia"/>
        </w:rPr>
        <w:t>’</w:t>
      </w:r>
      <w:r w:rsidRPr="006A14F8">
        <w:t>s behaviour support practitioner and is employed by the</w:t>
      </w:r>
      <w:r>
        <w:t xml:space="preserve"> </w:t>
      </w:r>
      <w:r w:rsidRPr="006A14F8">
        <w:t>implementing provider.</w:t>
      </w:r>
    </w:p>
    <w:p w14:paraId="6A9C3733" w14:textId="3050DAC1" w:rsidR="006A14F8" w:rsidRDefault="006A14F8" w:rsidP="006A14F8">
      <w:r w:rsidRPr="006A14F8">
        <w:t>Both models are possible. The partially delegated model offers better efficiency, but would need stronger</w:t>
      </w:r>
      <w:r>
        <w:t xml:space="preserve"> </w:t>
      </w:r>
      <w:r w:rsidRPr="006A14F8">
        <w:t>governance of the APOs (i.e. very specific qualifications and oversight). The two step model would possibly require</w:t>
      </w:r>
      <w:r>
        <w:t xml:space="preserve"> </w:t>
      </w:r>
      <w:r w:rsidRPr="006A14F8">
        <w:t>more staff to make sure that authorisation can be done quickly and efficiently.</w:t>
      </w:r>
    </w:p>
    <w:p w14:paraId="7E24B03F" w14:textId="71AA21C5" w:rsidR="006A14F8" w:rsidRPr="006A14F8" w:rsidRDefault="006A14F8" w:rsidP="006A14F8">
      <w:pPr>
        <w:rPr>
          <w:b/>
          <w:bCs/>
        </w:rPr>
      </w:pPr>
      <w:r>
        <w:rPr>
          <w:b/>
          <w:bCs/>
        </w:rPr>
        <w:lastRenderedPageBreak/>
        <w:t xml:space="preserve">Question 11: </w:t>
      </w:r>
      <w:r w:rsidRPr="006A14F8">
        <w:rPr>
          <w:b/>
          <w:bCs/>
        </w:rPr>
        <w:t>Are there alternative approaches to authorisation that would be preferable to these models?</w:t>
      </w:r>
    </w:p>
    <w:p w14:paraId="70995960" w14:textId="608A5480" w:rsidR="006A14F8" w:rsidRDefault="006A14F8" w:rsidP="006A14F8">
      <w:r w:rsidRPr="006A14F8">
        <w:t>Nil comment.</w:t>
      </w:r>
    </w:p>
    <w:p w14:paraId="655D21F8" w14:textId="392B1911" w:rsidR="006A14F8" w:rsidRPr="006A14F8" w:rsidRDefault="006A14F8" w:rsidP="006A14F8">
      <w:pPr>
        <w:rPr>
          <w:b/>
          <w:bCs/>
        </w:rPr>
      </w:pPr>
      <w:r>
        <w:rPr>
          <w:b/>
          <w:bCs/>
        </w:rPr>
        <w:t xml:space="preserve">Question 12: </w:t>
      </w:r>
      <w:r w:rsidRPr="006A14F8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6A14F8">
        <w:rPr>
          <w:b/>
          <w:bCs/>
        </w:rPr>
        <w:t>be permitted to be consultants to a number of providers?</w:t>
      </w:r>
    </w:p>
    <w:p w14:paraId="3EE18D0B" w14:textId="28A7171E" w:rsidR="006A14F8" w:rsidRDefault="006A14F8" w:rsidP="006A14F8">
      <w:r w:rsidRPr="006A14F8">
        <w:t xml:space="preserve">Could the APOs come from a specific group of providers </w:t>
      </w:r>
      <w:r>
        <w:t>“</w:t>
      </w:r>
      <w:r w:rsidRPr="006A14F8">
        <w:t>commissioned</w:t>
      </w:r>
      <w:r>
        <w:t xml:space="preserve">” </w:t>
      </w:r>
      <w:r w:rsidRPr="006A14F8">
        <w:t>by the NSW Government? This would allow</w:t>
      </w:r>
      <w:r>
        <w:t xml:space="preserve"> </w:t>
      </w:r>
      <w:r w:rsidRPr="006A14F8">
        <w:t>tighter governance of the workforce. A commissioned workforce of APOs could also work if this legislative</w:t>
      </w:r>
      <w:r>
        <w:t xml:space="preserve"> </w:t>
      </w:r>
      <w:r w:rsidRPr="006A14F8">
        <w:t>framework applies to other settings (e.g. education, health, justice).</w:t>
      </w:r>
    </w:p>
    <w:p w14:paraId="1B5657E2" w14:textId="6C49C34A" w:rsidR="006A14F8" w:rsidRPr="006A14F8" w:rsidRDefault="006A14F8" w:rsidP="006A14F8">
      <w:pPr>
        <w:rPr>
          <w:b/>
          <w:bCs/>
        </w:rPr>
      </w:pPr>
      <w:r>
        <w:rPr>
          <w:b/>
          <w:bCs/>
        </w:rPr>
        <w:t xml:space="preserve">Question 13: </w:t>
      </w:r>
      <w:r w:rsidRPr="006A14F8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6A14F8">
        <w:rPr>
          <w:b/>
          <w:bCs/>
        </w:rPr>
        <w:t>practices?</w:t>
      </w:r>
    </w:p>
    <w:p w14:paraId="5A762695" w14:textId="77777777" w:rsidR="006A14F8" w:rsidRPr="006A14F8" w:rsidRDefault="006A14F8" w:rsidP="006A14F8">
      <w:r w:rsidRPr="006A14F8">
        <w:t>Yes, with a caveat.</w:t>
      </w:r>
    </w:p>
    <w:p w14:paraId="729B57E0" w14:textId="4D382937" w:rsidR="006A14F8" w:rsidRDefault="006A14F8" w:rsidP="006A14F8">
      <w:r w:rsidRPr="006A14F8">
        <w:t>Simply cancelling authorisation of a restrictive practice when a provider fails to provide evidence could have</w:t>
      </w:r>
      <w:r>
        <w:t xml:space="preserve"> </w:t>
      </w:r>
      <w:r w:rsidRPr="006A14F8">
        <w:t>extremely harmful consequences for the person e.g. sudden loss of environmental restraint could mean a person</w:t>
      </w:r>
      <w:r>
        <w:t xml:space="preserve"> </w:t>
      </w:r>
      <w:r w:rsidRPr="006A14F8">
        <w:t>runs onto the road and is hit by a car or is able to access sharps and self-harm; sudden removal of a chemical</w:t>
      </w:r>
      <w:r>
        <w:t xml:space="preserve"> </w:t>
      </w:r>
      <w:r w:rsidRPr="006A14F8">
        <w:t>restraint could mean someone has medication withdrawal symptoms that risk their health and wellbeing, Thi</w:t>
      </w:r>
      <w:r>
        <w:t xml:space="preserve">s </w:t>
      </w:r>
      <w:r w:rsidRPr="006A14F8">
        <w:t>penalises the person with disability for the action or inaction of the provider(s).There should be a way to compel</w:t>
      </w:r>
      <w:r>
        <w:t xml:space="preserve"> </w:t>
      </w:r>
      <w:r w:rsidRPr="006A14F8">
        <w:t>provision of information without putting the person at risk of harm.</w:t>
      </w:r>
    </w:p>
    <w:p w14:paraId="6C2C087A" w14:textId="18E7D23D" w:rsidR="006A14F8" w:rsidRPr="006A14F8" w:rsidRDefault="006A14F8" w:rsidP="006A14F8">
      <w:pPr>
        <w:rPr>
          <w:b/>
          <w:bCs/>
        </w:rPr>
      </w:pPr>
      <w:r>
        <w:rPr>
          <w:b/>
          <w:bCs/>
        </w:rPr>
        <w:t xml:space="preserve">Question 14: </w:t>
      </w:r>
      <w:r w:rsidRPr="006A14F8">
        <w:rPr>
          <w:b/>
          <w:bCs/>
        </w:rPr>
        <w:t>Are there any additional grounds on which the Senior Practitioner should be able to cancel an authorisation?</w:t>
      </w:r>
    </w:p>
    <w:p w14:paraId="411B7BC8" w14:textId="704E1F49" w:rsidR="006A14F8" w:rsidRDefault="006A14F8" w:rsidP="006A14F8">
      <w:r w:rsidRPr="006A14F8">
        <w:t>Nil comment.</w:t>
      </w:r>
    </w:p>
    <w:p w14:paraId="221FCFFB" w14:textId="5ACB890F" w:rsidR="00321E7D" w:rsidRPr="00321E7D" w:rsidRDefault="00321E7D" w:rsidP="00321E7D">
      <w:pPr>
        <w:rPr>
          <w:b/>
          <w:bCs/>
        </w:rPr>
      </w:pPr>
      <w:r>
        <w:rPr>
          <w:b/>
          <w:bCs/>
        </w:rPr>
        <w:t xml:space="preserve">Question 15a: </w:t>
      </w:r>
      <w:r w:rsidRPr="00321E7D">
        <w:rPr>
          <w:b/>
          <w:bCs/>
        </w:rPr>
        <w:t>Should authorisation decisions be open to internal review?</w:t>
      </w:r>
    </w:p>
    <w:p w14:paraId="44BCBC2C" w14:textId="397A8469" w:rsidR="002E5964" w:rsidRDefault="00321E7D" w:rsidP="00321E7D">
      <w:r w:rsidRPr="00321E7D">
        <w:t>Yes, this is reasonable and mirrors other processes of review.</w:t>
      </w:r>
    </w:p>
    <w:p w14:paraId="2C30E03F" w14:textId="01ADB45A" w:rsidR="00541018" w:rsidRPr="00541018" w:rsidRDefault="00541018" w:rsidP="00541018">
      <w:pPr>
        <w:rPr>
          <w:b/>
          <w:bCs/>
        </w:rPr>
      </w:pPr>
      <w:r>
        <w:rPr>
          <w:b/>
          <w:bCs/>
        </w:rPr>
        <w:t xml:space="preserve">Question 15b: </w:t>
      </w:r>
      <w:r w:rsidRPr="00541018">
        <w:rPr>
          <w:b/>
          <w:bCs/>
        </w:rPr>
        <w:t>Should authorisation decisions be reviewable at NCAT?</w:t>
      </w:r>
    </w:p>
    <w:p w14:paraId="748DB3E9" w14:textId="6A1795AB" w:rsidR="00321E7D" w:rsidRDefault="00541018" w:rsidP="00541018">
      <w:r w:rsidRPr="00541018">
        <w:t>Yes, this is reasonable and mirrors other processes of review.</w:t>
      </w:r>
    </w:p>
    <w:p w14:paraId="1FBFE59C" w14:textId="077B7B53" w:rsidR="00541018" w:rsidRPr="00541018" w:rsidRDefault="00541018" w:rsidP="00541018">
      <w:pPr>
        <w:rPr>
          <w:b/>
          <w:bCs/>
        </w:rPr>
      </w:pPr>
      <w:r>
        <w:rPr>
          <w:b/>
          <w:bCs/>
        </w:rPr>
        <w:t xml:space="preserve">Question 16a: </w:t>
      </w:r>
      <w:r w:rsidRPr="00541018">
        <w:rPr>
          <w:b/>
          <w:bCs/>
        </w:rPr>
        <w:t>Should rights to seek review be limited to the person or a person concerned for their welfare?</w:t>
      </w:r>
    </w:p>
    <w:p w14:paraId="33AC5A43" w14:textId="1FD85AF4" w:rsidR="00541018" w:rsidRDefault="00541018" w:rsidP="00541018">
      <w:r w:rsidRPr="00541018">
        <w:t>It makes sense that any party with a genuine concern for the person</w:t>
      </w:r>
      <w:r w:rsidRPr="00541018">
        <w:rPr>
          <w:rFonts w:hint="eastAsia"/>
        </w:rPr>
        <w:t>’</w:t>
      </w:r>
      <w:r w:rsidRPr="00541018">
        <w:t>s wellbeing can seek review.</w:t>
      </w:r>
    </w:p>
    <w:p w14:paraId="24C50E3F" w14:textId="43C42B31" w:rsidR="00D6040A" w:rsidRPr="00D6040A" w:rsidRDefault="00D6040A" w:rsidP="00D6040A">
      <w:pPr>
        <w:rPr>
          <w:b/>
          <w:bCs/>
        </w:rPr>
      </w:pPr>
      <w:r>
        <w:rPr>
          <w:b/>
          <w:bCs/>
        </w:rPr>
        <w:t xml:space="preserve">Question 16b: </w:t>
      </w:r>
      <w:r w:rsidRPr="00D6040A">
        <w:rPr>
          <w:b/>
          <w:bCs/>
        </w:rPr>
        <w:t>Should the service provider have a right to seek review of a decision not to authorise a restrictive practice?</w:t>
      </w:r>
    </w:p>
    <w:p w14:paraId="3D3786AF" w14:textId="36C04EBE" w:rsidR="00D6040A" w:rsidRDefault="00D6040A" w:rsidP="00D6040A">
      <w:r w:rsidRPr="00D6040A">
        <w:lastRenderedPageBreak/>
        <w:t>Yes, if there is a genuine concern that a person's welfare could be compromised.</w:t>
      </w:r>
    </w:p>
    <w:p w14:paraId="14295557" w14:textId="4574E862" w:rsidR="006F4CEB" w:rsidRPr="006F4CEB" w:rsidRDefault="006F4CEB" w:rsidP="006F4CEB">
      <w:pPr>
        <w:rPr>
          <w:b/>
          <w:bCs/>
        </w:rPr>
      </w:pPr>
      <w:r>
        <w:rPr>
          <w:b/>
          <w:bCs/>
        </w:rPr>
        <w:t xml:space="preserve">Question 17: </w:t>
      </w:r>
      <w:r w:rsidRPr="006F4CEB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6F4CEB">
        <w:rPr>
          <w:b/>
          <w:bCs/>
        </w:rPr>
        <w:t>time?</w:t>
      </w:r>
    </w:p>
    <w:p w14:paraId="7F4E896B" w14:textId="075F5002" w:rsidR="006F4CEB" w:rsidRPr="006F4CEB" w:rsidRDefault="006F4CEB" w:rsidP="006F4CEB">
      <w:r w:rsidRPr="006F4CEB">
        <w:t>In principle yes, but this consultation paper seems to misunderstand who creates behaviour support plans under</w:t>
      </w:r>
      <w:r>
        <w:t xml:space="preserve"> </w:t>
      </w:r>
      <w:r w:rsidRPr="006F4CEB">
        <w:t>the NDIS model. It appears to assume that behaviour support practitioners are employed by the same providers</w:t>
      </w:r>
      <w:r>
        <w:t xml:space="preserve"> </w:t>
      </w:r>
      <w:r w:rsidRPr="006F4CEB">
        <w:t>who implement the behaviour support plan. This is NOT the case. Requesting that a service provider review a BSP</w:t>
      </w:r>
      <w:r>
        <w:t xml:space="preserve"> </w:t>
      </w:r>
      <w:r w:rsidRPr="006F4CEB">
        <w:t>actually means requesting that multiple providers review the BSP.</w:t>
      </w:r>
    </w:p>
    <w:p w14:paraId="25AB73E9" w14:textId="635379D9" w:rsidR="006F4CEB" w:rsidRPr="006F4CEB" w:rsidRDefault="006F4CEB" w:rsidP="006F4CEB">
      <w:r w:rsidRPr="006F4CEB">
        <w:t>Behaviour support plans are created by a behaviour support practitioner employed by Provider A. Staff who</w:t>
      </w:r>
      <w:r>
        <w:t xml:space="preserve"> </w:t>
      </w:r>
      <w:r w:rsidRPr="006F4CEB">
        <w:t>implement the behaviour support plan are employed by Provider B (e.g. personal support staff), Provider C (e.g. day</w:t>
      </w:r>
      <w:r>
        <w:t xml:space="preserve"> </w:t>
      </w:r>
      <w:r w:rsidRPr="006F4CEB">
        <w:t>program), Provider D (e.g. community access) etc.</w:t>
      </w:r>
    </w:p>
    <w:p w14:paraId="103801BA" w14:textId="48C99CC5" w:rsidR="00D6040A" w:rsidRDefault="006F4CEB" w:rsidP="006F4CEB">
      <w:r w:rsidRPr="006F4CEB">
        <w:t>It is important that the proposed legislative framework is based on correct assumptions about how BSPs are created</w:t>
      </w:r>
      <w:r>
        <w:t xml:space="preserve"> </w:t>
      </w:r>
      <w:r w:rsidRPr="006F4CEB">
        <w:t>and implemented.</w:t>
      </w:r>
    </w:p>
    <w:p w14:paraId="1FD0F78D" w14:textId="1BA2DF87" w:rsidR="005545B0" w:rsidRPr="005545B0" w:rsidRDefault="005545B0" w:rsidP="005545B0">
      <w:pPr>
        <w:rPr>
          <w:b/>
          <w:bCs/>
        </w:rPr>
      </w:pPr>
      <w:r>
        <w:rPr>
          <w:b/>
          <w:bCs/>
        </w:rPr>
        <w:t xml:space="preserve">Question 18: </w:t>
      </w:r>
      <w:r w:rsidRPr="005545B0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5545B0">
        <w:rPr>
          <w:b/>
          <w:bCs/>
        </w:rPr>
        <w:t>complaint, on its own motion, or both?</w:t>
      </w:r>
    </w:p>
    <w:p w14:paraId="6E68017E" w14:textId="79246423" w:rsidR="005545B0" w:rsidRDefault="005545B0" w:rsidP="005545B0">
      <w:r w:rsidRPr="005545B0">
        <w:t>Both. People with disability who are most at risk are likely to be least supported / empowered to make complaints.</w:t>
      </w:r>
      <w:r>
        <w:t xml:space="preserve"> </w:t>
      </w:r>
      <w:r w:rsidRPr="005545B0">
        <w:t>The Senior Practitioner should be able to initiate investigation on its own motion.</w:t>
      </w:r>
    </w:p>
    <w:p w14:paraId="3E621934" w14:textId="15BB2A9F" w:rsidR="001F662D" w:rsidRPr="001F662D" w:rsidRDefault="001F662D" w:rsidP="001F662D">
      <w:pPr>
        <w:rPr>
          <w:b/>
          <w:bCs/>
        </w:rPr>
      </w:pPr>
      <w:r>
        <w:rPr>
          <w:b/>
          <w:bCs/>
        </w:rPr>
        <w:t xml:space="preserve">Question 19: </w:t>
      </w:r>
      <w:r w:rsidRPr="001F662D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1F662D">
        <w:rPr>
          <w:b/>
          <w:bCs/>
        </w:rPr>
        <w:t>practice?</w:t>
      </w:r>
    </w:p>
    <w:p w14:paraId="1A597D11" w14:textId="485EDA52" w:rsidR="001F662D" w:rsidRDefault="001F662D" w:rsidP="001F662D">
      <w:r w:rsidRPr="001F662D">
        <w:t>Yes</w:t>
      </w:r>
      <w:r>
        <w:t>.</w:t>
      </w:r>
    </w:p>
    <w:p w14:paraId="0F933B98" w14:textId="71F35A7A" w:rsidR="00722D5F" w:rsidRPr="00722D5F" w:rsidRDefault="00722D5F" w:rsidP="00722D5F">
      <w:pPr>
        <w:rPr>
          <w:b/>
          <w:bCs/>
        </w:rPr>
      </w:pPr>
      <w:r>
        <w:rPr>
          <w:b/>
          <w:bCs/>
        </w:rPr>
        <w:t xml:space="preserve">Question 20: </w:t>
      </w:r>
      <w:r w:rsidRPr="00722D5F">
        <w:rPr>
          <w:b/>
          <w:bCs/>
        </w:rPr>
        <w:t>How should interaction with the NDIS complaints framework be managed?</w:t>
      </w:r>
    </w:p>
    <w:p w14:paraId="2F0BE5D7" w14:textId="1FB4746F" w:rsidR="001F662D" w:rsidRDefault="00722D5F" w:rsidP="00722D5F">
      <w:r w:rsidRPr="00722D5F">
        <w:t>A formal mechanism allowing the free exchange of information between the Senior Practitioner and the NDIS</w:t>
      </w:r>
      <w:r>
        <w:t xml:space="preserve"> </w:t>
      </w:r>
      <w:r w:rsidRPr="00722D5F">
        <w:t>Commission, police and other relevant State/Commonwealth government bodies is needed.</w:t>
      </w:r>
    </w:p>
    <w:p w14:paraId="6D1302FB" w14:textId="43F22D9D" w:rsidR="00722D5F" w:rsidRPr="00722D5F" w:rsidRDefault="00722D5F" w:rsidP="00722D5F">
      <w:pPr>
        <w:rPr>
          <w:b/>
          <w:bCs/>
        </w:rPr>
      </w:pPr>
      <w:r>
        <w:rPr>
          <w:b/>
          <w:bCs/>
        </w:rPr>
        <w:t xml:space="preserve">Question 21: </w:t>
      </w:r>
      <w:r w:rsidRPr="00722D5F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722D5F">
        <w:rPr>
          <w:b/>
          <w:bCs/>
        </w:rPr>
        <w:t>circumstances should the Senior Practitioner be permitted to share information?</w:t>
      </w:r>
    </w:p>
    <w:p w14:paraId="4CDC322F" w14:textId="19EDE5FD" w:rsidR="007543AD" w:rsidRPr="007543AD" w:rsidRDefault="00722D5F" w:rsidP="007543AD">
      <w:r w:rsidRPr="00722D5F">
        <w:t>The NDIA, NDIS Commission, NDIS Fraud Taskforce, Australian Federal Police, NSW Police, NSW Ageing and</w:t>
      </w:r>
      <w:r>
        <w:t xml:space="preserve"> </w:t>
      </w:r>
      <w:r w:rsidRPr="00722D5F">
        <w:t>Disability Commission, Office of the Children</w:t>
      </w:r>
      <w:r>
        <w:t>’</w:t>
      </w:r>
      <w:r w:rsidRPr="00722D5F">
        <w:t>s Guardian, NSW Trustee and Guardian, NSW Health, a person</w:t>
      </w:r>
      <w:r>
        <w:t>’</w:t>
      </w:r>
      <w:r w:rsidRPr="00722D5F">
        <w:t>s private</w:t>
      </w:r>
      <w:r w:rsidR="007543AD">
        <w:t xml:space="preserve"> </w:t>
      </w:r>
      <w:r w:rsidR="007543AD" w:rsidRPr="007543AD">
        <w:t>medical practitioners.</w:t>
      </w:r>
    </w:p>
    <w:p w14:paraId="7AFDD10B" w14:textId="0E98D9C2" w:rsidR="00722D5F" w:rsidRDefault="007543AD" w:rsidP="007543AD">
      <w:r w:rsidRPr="007543AD">
        <w:t>Wherever there are concerns about the welfare and treatment of a person subject to a behaviour support plan and</w:t>
      </w:r>
      <w:r>
        <w:t xml:space="preserve"> </w:t>
      </w:r>
      <w:r w:rsidRPr="007543AD">
        <w:t>restrictive practices.</w:t>
      </w:r>
    </w:p>
    <w:p w14:paraId="45B36BED" w14:textId="366D3773" w:rsidR="007543AD" w:rsidRPr="007543AD" w:rsidRDefault="007543AD" w:rsidP="007543AD">
      <w:pPr>
        <w:rPr>
          <w:b/>
          <w:bCs/>
        </w:rPr>
      </w:pPr>
      <w:r>
        <w:rPr>
          <w:b/>
          <w:bCs/>
        </w:rPr>
        <w:lastRenderedPageBreak/>
        <w:t xml:space="preserve">Question 22a: </w:t>
      </w:r>
      <w:r w:rsidRPr="007543AD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7543AD">
        <w:rPr>
          <w:b/>
          <w:bCs/>
        </w:rPr>
        <w:t>NDIS providers proposed in this Paper sufficient?</w:t>
      </w:r>
    </w:p>
    <w:p w14:paraId="60DEFF4E" w14:textId="3B73D619" w:rsidR="007543AD" w:rsidRDefault="007543AD" w:rsidP="007543AD">
      <w:r w:rsidRPr="007543AD">
        <w:t>An information/ data sharing agreement to allow real-time access to/exchange of information between the office of</w:t>
      </w:r>
      <w:r>
        <w:t xml:space="preserve"> </w:t>
      </w:r>
      <w:r w:rsidRPr="007543AD">
        <w:t>the Senior Practitioner and the NDIS Commission.</w:t>
      </w:r>
    </w:p>
    <w:p w14:paraId="139C2D1A" w14:textId="7E1564C6" w:rsidR="00444B92" w:rsidRPr="00444B92" w:rsidRDefault="00444B92" w:rsidP="00444B92">
      <w:pPr>
        <w:rPr>
          <w:b/>
          <w:bCs/>
        </w:rPr>
      </w:pPr>
      <w:r>
        <w:rPr>
          <w:b/>
          <w:bCs/>
        </w:rPr>
        <w:t xml:space="preserve">Question 22b: </w:t>
      </w:r>
      <w:r w:rsidRPr="00444B92">
        <w:rPr>
          <w:b/>
          <w:bCs/>
        </w:rPr>
        <w:t>How can reporting burden to the Senior Practitioner and the NDIS Commission be minimised?</w:t>
      </w:r>
    </w:p>
    <w:p w14:paraId="600709BE" w14:textId="7B036401" w:rsidR="00444B92" w:rsidRDefault="00444B92" w:rsidP="00444B92">
      <w:r w:rsidRPr="00444B92">
        <w:t>An information/ data sharing agreement to allow real-time access to/exchange of information between the office of</w:t>
      </w:r>
      <w:r>
        <w:t xml:space="preserve"> </w:t>
      </w:r>
      <w:r w:rsidRPr="00444B92">
        <w:t>the Senior Practitioner and the NDIS Commission.</w:t>
      </w:r>
    </w:p>
    <w:p w14:paraId="065A4C3D" w14:textId="30D2F24E" w:rsidR="00444B92" w:rsidRPr="00444B92" w:rsidRDefault="00444B92" w:rsidP="00444B92">
      <w:pPr>
        <w:rPr>
          <w:b/>
          <w:bCs/>
        </w:rPr>
      </w:pPr>
      <w:r>
        <w:rPr>
          <w:b/>
          <w:bCs/>
        </w:rPr>
        <w:t xml:space="preserve">Question 23: </w:t>
      </w:r>
      <w:r w:rsidRPr="00444B92">
        <w:rPr>
          <w:b/>
          <w:bCs/>
        </w:rPr>
        <w:t>Do you agree the Senior Practitioner should have the proposed education and guidance functions?</w:t>
      </w:r>
    </w:p>
    <w:p w14:paraId="1507FEA1" w14:textId="0C20B8B4" w:rsidR="00444B92" w:rsidRDefault="00444B92" w:rsidP="00444B92">
      <w:r w:rsidRPr="00444B92">
        <w:t>Yes, with these functions being extended to settings other than disability support if the legislative framework applies</w:t>
      </w:r>
      <w:r>
        <w:t xml:space="preserve"> </w:t>
      </w:r>
      <w:r w:rsidRPr="00444B92">
        <w:t>to multiple settings.</w:t>
      </w:r>
    </w:p>
    <w:p w14:paraId="16693DBF" w14:textId="0D421531" w:rsidR="00E060AF" w:rsidRPr="00E060AF" w:rsidRDefault="00E060AF" w:rsidP="00E060AF">
      <w:pPr>
        <w:rPr>
          <w:b/>
          <w:bCs/>
        </w:rPr>
      </w:pPr>
      <w:r>
        <w:rPr>
          <w:b/>
          <w:bCs/>
        </w:rPr>
        <w:t>Question 24</w:t>
      </w:r>
      <w:r w:rsidR="009C6861">
        <w:rPr>
          <w:b/>
          <w:bCs/>
        </w:rPr>
        <w:t>a</w:t>
      </w:r>
      <w:r>
        <w:rPr>
          <w:b/>
          <w:bCs/>
        </w:rPr>
        <w:t xml:space="preserve">: </w:t>
      </w:r>
      <w:r w:rsidRPr="00E060AF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E060AF">
        <w:rPr>
          <w:b/>
          <w:bCs/>
        </w:rPr>
        <w:t>are existing sanctions for misuse of restrictive practices sufficient?</w:t>
      </w:r>
    </w:p>
    <w:p w14:paraId="5351772E" w14:textId="3269278C" w:rsidR="00444B92" w:rsidRDefault="00E060AF" w:rsidP="00E060AF">
      <w:r w:rsidRPr="00E060AF">
        <w:t>Yes. This is a high risk area where more governance is needed, not less. The legislation could define how the Senior</w:t>
      </w:r>
      <w:r>
        <w:t xml:space="preserve"> </w:t>
      </w:r>
      <w:r w:rsidRPr="00E060AF">
        <w:t>Practitioner would interact with the NDIS Commission and Fraud Taskforce to determine how to proceed with</w:t>
      </w:r>
      <w:r>
        <w:t xml:space="preserve"> </w:t>
      </w:r>
      <w:r w:rsidRPr="00E060AF">
        <w:t>sanctions.</w:t>
      </w:r>
    </w:p>
    <w:p w14:paraId="2EBAE3DC" w14:textId="6492DB3A" w:rsidR="009C6861" w:rsidRPr="009C6861" w:rsidRDefault="009C6861" w:rsidP="009C6861">
      <w:pPr>
        <w:rPr>
          <w:b/>
          <w:bCs/>
        </w:rPr>
      </w:pPr>
      <w:r>
        <w:rPr>
          <w:b/>
          <w:bCs/>
        </w:rPr>
        <w:t xml:space="preserve">Question 24b: </w:t>
      </w:r>
      <w:r w:rsidRPr="009C6861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9C6861">
        <w:rPr>
          <w:b/>
          <w:bCs/>
        </w:rPr>
        <w:t>framework be managed?</w:t>
      </w:r>
    </w:p>
    <w:p w14:paraId="4939A7E5" w14:textId="70F13721" w:rsidR="009C6861" w:rsidRDefault="009C6861" w:rsidP="009C6861">
      <w:r w:rsidRPr="009C6861">
        <w:t>Nil comment</w:t>
      </w:r>
      <w:r>
        <w:t>.</w:t>
      </w:r>
    </w:p>
    <w:p w14:paraId="36D6E1EE" w14:textId="6DF017E9" w:rsidR="00A92F19" w:rsidRPr="00A92F19" w:rsidRDefault="00A92F19" w:rsidP="00A92F19">
      <w:pPr>
        <w:rPr>
          <w:b/>
          <w:bCs/>
        </w:rPr>
      </w:pPr>
      <w:r>
        <w:rPr>
          <w:b/>
          <w:bCs/>
        </w:rPr>
        <w:t xml:space="preserve">Question 25: </w:t>
      </w:r>
      <w:r w:rsidRPr="00A92F19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A92F19">
        <w:rPr>
          <w:b/>
          <w:bCs/>
        </w:rPr>
        <w:t>practices where the use was in accordance with an authorisation and done in good faith?</w:t>
      </w:r>
    </w:p>
    <w:p w14:paraId="645F3B2C" w14:textId="4F2E1CDC" w:rsidR="009C6861" w:rsidRDefault="00A92F19" w:rsidP="00A92F19">
      <w:r w:rsidRPr="00A92F19">
        <w:t>Nil comment</w:t>
      </w:r>
      <w:r>
        <w:t xml:space="preserve">. </w:t>
      </w:r>
    </w:p>
    <w:p w14:paraId="32D2E668" w14:textId="28D8019B" w:rsidR="00C86B6B" w:rsidRPr="00C86B6B" w:rsidRDefault="00C86B6B" w:rsidP="00C86B6B">
      <w:pPr>
        <w:rPr>
          <w:b/>
          <w:bCs/>
        </w:rPr>
      </w:pPr>
      <w:r>
        <w:rPr>
          <w:b/>
          <w:bCs/>
        </w:rPr>
        <w:t xml:space="preserve">Question 26: </w:t>
      </w:r>
      <w:r w:rsidRPr="00C86B6B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C86B6B">
        <w:rPr>
          <w:b/>
          <w:bCs/>
        </w:rPr>
        <w:t>service provision setting be subject to any other requirements?</w:t>
      </w:r>
    </w:p>
    <w:p w14:paraId="3585F635" w14:textId="1ACF183D" w:rsidR="00C86B6B" w:rsidRDefault="00C86B6B" w:rsidP="00C86B6B">
      <w:r w:rsidRPr="00C86B6B">
        <w:t>Nil comment</w:t>
      </w:r>
      <w:r>
        <w:t xml:space="preserve">. </w:t>
      </w:r>
    </w:p>
    <w:p w14:paraId="40D2CEC6" w14:textId="77777777" w:rsidR="007543AD" w:rsidRDefault="007543AD" w:rsidP="007543AD"/>
    <w:sectPr w:rsidR="00754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189"/>
    <w:multiLevelType w:val="hybridMultilevel"/>
    <w:tmpl w:val="90CA39F6"/>
    <w:lvl w:ilvl="0" w:tplc="4912C1AC">
      <w:numFmt w:val="bullet"/>
      <w:lvlText w:val="•"/>
      <w:lvlJc w:val="left"/>
      <w:pPr>
        <w:ind w:left="1080" w:hanging="360"/>
      </w:pPr>
      <w:rPr>
        <w:rFonts w:ascii="MS Mincho" w:eastAsia="MS Mincho" w:hAnsi="MS Mincho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E2D35"/>
    <w:multiLevelType w:val="hybridMultilevel"/>
    <w:tmpl w:val="FF18C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767D"/>
    <w:multiLevelType w:val="hybridMultilevel"/>
    <w:tmpl w:val="685275FA"/>
    <w:lvl w:ilvl="0" w:tplc="D9BA38FC">
      <w:numFmt w:val="bullet"/>
      <w:lvlText w:val="•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74F45"/>
    <w:multiLevelType w:val="hybridMultilevel"/>
    <w:tmpl w:val="8C82F2A4"/>
    <w:lvl w:ilvl="0" w:tplc="4912C1AC">
      <w:numFmt w:val="bullet"/>
      <w:lvlText w:val="•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8525C"/>
    <w:multiLevelType w:val="hybridMultilevel"/>
    <w:tmpl w:val="F6280B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F0D09"/>
    <w:multiLevelType w:val="hybridMultilevel"/>
    <w:tmpl w:val="C4D6E998"/>
    <w:lvl w:ilvl="0" w:tplc="4912C1AC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93AAB"/>
    <w:multiLevelType w:val="hybridMultilevel"/>
    <w:tmpl w:val="56B61E80"/>
    <w:lvl w:ilvl="0" w:tplc="4912C1AC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94082"/>
    <w:multiLevelType w:val="hybridMultilevel"/>
    <w:tmpl w:val="DD500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F3309"/>
    <w:multiLevelType w:val="hybridMultilevel"/>
    <w:tmpl w:val="F11ED3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4E7A8B"/>
    <w:multiLevelType w:val="hybridMultilevel"/>
    <w:tmpl w:val="4760BE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5A4490"/>
    <w:multiLevelType w:val="hybridMultilevel"/>
    <w:tmpl w:val="104CA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664800">
    <w:abstractNumId w:val="10"/>
  </w:num>
  <w:num w:numId="2" w16cid:durableId="1667248700">
    <w:abstractNumId w:val="2"/>
  </w:num>
  <w:num w:numId="3" w16cid:durableId="1728147536">
    <w:abstractNumId w:val="4"/>
  </w:num>
  <w:num w:numId="4" w16cid:durableId="927468971">
    <w:abstractNumId w:val="1"/>
  </w:num>
  <w:num w:numId="5" w16cid:durableId="887959502">
    <w:abstractNumId w:val="6"/>
  </w:num>
  <w:num w:numId="6" w16cid:durableId="2009869548">
    <w:abstractNumId w:val="3"/>
  </w:num>
  <w:num w:numId="7" w16cid:durableId="328214953">
    <w:abstractNumId w:val="8"/>
  </w:num>
  <w:num w:numId="8" w16cid:durableId="1177235427">
    <w:abstractNumId w:val="7"/>
  </w:num>
  <w:num w:numId="9" w16cid:durableId="1761949034">
    <w:abstractNumId w:val="5"/>
  </w:num>
  <w:num w:numId="10" w16cid:durableId="1538852089">
    <w:abstractNumId w:val="0"/>
  </w:num>
  <w:num w:numId="11" w16cid:durableId="171725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CE"/>
    <w:rsid w:val="000A0763"/>
    <w:rsid w:val="000F31CE"/>
    <w:rsid w:val="00115C7E"/>
    <w:rsid w:val="001F662D"/>
    <w:rsid w:val="002E5964"/>
    <w:rsid w:val="00321E7D"/>
    <w:rsid w:val="003D411E"/>
    <w:rsid w:val="00444B92"/>
    <w:rsid w:val="004F20D7"/>
    <w:rsid w:val="00541018"/>
    <w:rsid w:val="005545B0"/>
    <w:rsid w:val="006A14F8"/>
    <w:rsid w:val="006F4CEB"/>
    <w:rsid w:val="00722D5F"/>
    <w:rsid w:val="007543AD"/>
    <w:rsid w:val="009C6861"/>
    <w:rsid w:val="00A92F19"/>
    <w:rsid w:val="00B5549C"/>
    <w:rsid w:val="00C56D43"/>
    <w:rsid w:val="00C66643"/>
    <w:rsid w:val="00C86B6B"/>
    <w:rsid w:val="00D6040A"/>
    <w:rsid w:val="00E060AF"/>
    <w:rsid w:val="00E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A0ED"/>
  <w15:chartTrackingRefBased/>
  <w15:docId w15:val="{8E0ECF8D-A5BC-4C1D-AC48-73211250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1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31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2409</Words>
  <Characters>13734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2025-04-21T14:14:00Z</dcterms:created>
  <dcterms:modified xsi:type="dcterms:W3CDTF">2025-04-21T14:14:00Z</dcterms:modified>
</cp:coreProperties>
</file>