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B9405B" w:rsidRPr="008B1CF6" w14:paraId="1491924E"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3313B7B4" w14:textId="4FCD904F" w:rsidR="00B9405B" w:rsidRPr="008B1CF6" w:rsidRDefault="00B9405B" w:rsidP="00B9405B">
            <w:pPr>
              <w:pStyle w:val="TableTextWhite"/>
              <w:rPr>
                <w:rFonts w:ascii="Public Sans" w:hAnsi="Public Sans" w:cs="Arial"/>
                <w:b/>
                <w:color w:val="auto"/>
                <w:sz w:val="22"/>
                <w:szCs w:val="22"/>
              </w:rPr>
            </w:pPr>
            <w:r w:rsidRPr="008B1CF6">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67B55A7" w14:textId="77A20ECE" w:rsidR="00B9405B" w:rsidRPr="008B1CF6" w:rsidRDefault="00B9405B" w:rsidP="00B9405B">
            <w:pPr>
              <w:pStyle w:val="TableTextWhite"/>
              <w:rPr>
                <w:rFonts w:ascii="Public Sans" w:hAnsi="Public Sans" w:cs="Arial"/>
                <w:color w:val="auto"/>
                <w:sz w:val="22"/>
                <w:szCs w:val="22"/>
              </w:rPr>
            </w:pPr>
            <w:r w:rsidRPr="008B1CF6">
              <w:rPr>
                <w:rFonts w:ascii="Public Sans" w:hAnsi="Public Sans"/>
                <w:color w:val="000000"/>
                <w:sz w:val="22"/>
                <w:szCs w:val="22"/>
              </w:rPr>
              <w:t xml:space="preserve">Communities and Justice </w:t>
            </w:r>
          </w:p>
        </w:tc>
      </w:tr>
      <w:tr w:rsidR="00B9405B" w:rsidRPr="008B1CF6" w14:paraId="148C3366" w14:textId="77777777" w:rsidTr="0042689D">
        <w:tc>
          <w:tcPr>
            <w:tcW w:w="3601" w:type="dxa"/>
            <w:tcBorders>
              <w:top w:val="single" w:sz="8" w:space="0" w:color="FFFFFF"/>
              <w:left w:val="nil"/>
              <w:bottom w:val="single" w:sz="8" w:space="0" w:color="FFFFFF"/>
              <w:right w:val="nil"/>
            </w:tcBorders>
            <w:shd w:val="clear" w:color="auto" w:fill="C6D9F1"/>
            <w:vAlign w:val="center"/>
          </w:tcPr>
          <w:p w14:paraId="2FA67B60" w14:textId="7E80B6D9" w:rsidR="00B9405B" w:rsidRPr="008B1CF6" w:rsidRDefault="00B9405B" w:rsidP="00B9405B">
            <w:pPr>
              <w:pStyle w:val="TableTextWhite"/>
              <w:rPr>
                <w:rFonts w:ascii="Public Sans" w:hAnsi="Public Sans" w:cs="Arial"/>
                <w:b/>
                <w:color w:val="auto"/>
                <w:sz w:val="22"/>
                <w:szCs w:val="22"/>
              </w:rPr>
            </w:pPr>
            <w:r w:rsidRPr="008B1CF6">
              <w:rPr>
                <w:rFonts w:ascii="Public Sans" w:hAnsi="Public Sans"/>
                <w:b/>
                <w:bCs/>
                <w:color w:val="000000"/>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20D7DED4" w14:textId="5CABE581" w:rsidR="00B9405B" w:rsidRPr="008B1CF6" w:rsidRDefault="00B9405B" w:rsidP="00B9405B">
            <w:pPr>
              <w:pStyle w:val="TableTextWhite"/>
              <w:rPr>
                <w:rFonts w:ascii="Public Sans" w:hAnsi="Public Sans" w:cs="Arial"/>
                <w:color w:val="auto"/>
                <w:sz w:val="22"/>
                <w:szCs w:val="22"/>
              </w:rPr>
            </w:pPr>
            <w:r w:rsidRPr="008B1CF6">
              <w:rPr>
                <w:rFonts w:ascii="Public Sans" w:hAnsi="Public Sans"/>
                <w:color w:val="000000"/>
                <w:sz w:val="22"/>
                <w:szCs w:val="22"/>
              </w:rPr>
              <w:t>Department of Communities and Justice</w:t>
            </w:r>
          </w:p>
        </w:tc>
      </w:tr>
      <w:tr w:rsidR="00805C33" w:rsidRPr="008B1CF6" w14:paraId="56C1ACA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19C955D"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F1AEB4C" w14:textId="05667808" w:rsidR="00805C33" w:rsidRPr="008B1CF6" w:rsidRDefault="00E568AC"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Courts, Tribunals and Service Delivery</w:t>
            </w:r>
            <w:r w:rsidR="00EB3E90" w:rsidRPr="008B1CF6">
              <w:rPr>
                <w:rFonts w:ascii="Public Sans" w:hAnsi="Public Sans" w:cs="Arial"/>
                <w:color w:val="auto"/>
                <w:sz w:val="22"/>
                <w:szCs w:val="22"/>
              </w:rPr>
              <w:t xml:space="preserve"> / Superior Courts</w:t>
            </w:r>
          </w:p>
        </w:tc>
      </w:tr>
      <w:tr w:rsidR="00805C33" w:rsidRPr="008B1CF6" w14:paraId="695BCDA4" w14:textId="77777777" w:rsidTr="0042689D">
        <w:tc>
          <w:tcPr>
            <w:tcW w:w="3601" w:type="dxa"/>
            <w:tcBorders>
              <w:top w:val="single" w:sz="8" w:space="0" w:color="FFFFFF"/>
              <w:left w:val="nil"/>
              <w:bottom w:val="single" w:sz="8" w:space="0" w:color="FFFFFF"/>
              <w:right w:val="nil"/>
            </w:tcBorders>
            <w:shd w:val="clear" w:color="auto" w:fill="C6D9F1"/>
            <w:hideMark/>
          </w:tcPr>
          <w:p w14:paraId="5F089D83"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688FA28C" w14:textId="77777777" w:rsidR="00805C33" w:rsidRPr="008B1CF6" w:rsidRDefault="00805C33"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Sydney</w:t>
            </w:r>
          </w:p>
        </w:tc>
      </w:tr>
      <w:tr w:rsidR="00805C33" w:rsidRPr="008B1CF6" w14:paraId="3919E0D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1ED054B"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7CF0B342" w14:textId="77777777" w:rsidR="00805C33" w:rsidRPr="008B1CF6" w:rsidRDefault="00805C33"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Senior Executive Band 1</w:t>
            </w:r>
          </w:p>
        </w:tc>
      </w:tr>
      <w:tr w:rsidR="00805C33" w:rsidRPr="008B1CF6" w14:paraId="29A283F4" w14:textId="77777777" w:rsidTr="007F58CC">
        <w:tc>
          <w:tcPr>
            <w:tcW w:w="3601" w:type="dxa"/>
            <w:tcBorders>
              <w:top w:val="single" w:sz="8" w:space="0" w:color="FFFFFF"/>
              <w:left w:val="nil"/>
              <w:bottom w:val="single" w:sz="8" w:space="0" w:color="FFFFFF"/>
              <w:right w:val="nil"/>
            </w:tcBorders>
            <w:shd w:val="clear" w:color="auto" w:fill="C6D9F1"/>
            <w:hideMark/>
          </w:tcPr>
          <w:p w14:paraId="30D37E3C"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Senior Executive Work Level Standards:</w:t>
            </w:r>
          </w:p>
        </w:tc>
        <w:tc>
          <w:tcPr>
            <w:tcW w:w="6955" w:type="dxa"/>
            <w:gridSpan w:val="2"/>
            <w:tcBorders>
              <w:top w:val="single" w:sz="8" w:space="0" w:color="FFFFFF"/>
              <w:left w:val="nil"/>
              <w:bottom w:val="single" w:sz="8" w:space="0" w:color="FFFFFF"/>
              <w:right w:val="nil"/>
            </w:tcBorders>
            <w:shd w:val="clear" w:color="auto" w:fill="C6D9F1"/>
            <w:hideMark/>
          </w:tcPr>
          <w:p w14:paraId="3C9E8D61" w14:textId="77777777" w:rsidR="00805C33" w:rsidRPr="008B1CF6" w:rsidRDefault="00805C33"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Service/ Operational Delivery</w:t>
            </w:r>
          </w:p>
        </w:tc>
      </w:tr>
      <w:tr w:rsidR="00805C33" w:rsidRPr="008B1CF6" w14:paraId="1EC906B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AACE694"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3616ABC9" w14:textId="56ADAD92" w:rsidR="00805C33" w:rsidRPr="008B1CF6" w:rsidRDefault="00B9405B"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50007823</w:t>
            </w:r>
          </w:p>
        </w:tc>
      </w:tr>
      <w:tr w:rsidR="00805C33" w:rsidRPr="008B1CF6" w14:paraId="11CED47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112E236"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6C7CFBA5" w14:textId="77777777" w:rsidR="00805C33" w:rsidRPr="008B1CF6" w:rsidRDefault="00805C33"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139999</w:t>
            </w:r>
          </w:p>
        </w:tc>
      </w:tr>
      <w:tr w:rsidR="00805C33" w:rsidRPr="008B1CF6" w14:paraId="1ADBA34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6B9A5E2"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5B1DA1F9" w14:textId="77777777" w:rsidR="00805C33" w:rsidRPr="008B1CF6" w:rsidRDefault="00805C33"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1119192</w:t>
            </w:r>
          </w:p>
        </w:tc>
      </w:tr>
      <w:tr w:rsidR="00805C33" w:rsidRPr="008B1CF6" w14:paraId="378CE9B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712A743"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21A7AD74" w14:textId="175621C6" w:rsidR="00805C33" w:rsidRPr="008B1CF6" w:rsidRDefault="008B1CF6" w:rsidP="00805C33">
            <w:pPr>
              <w:pStyle w:val="TableTextWhite"/>
              <w:rPr>
                <w:rFonts w:ascii="Public Sans" w:hAnsi="Public Sans" w:cs="Arial"/>
                <w:color w:val="auto"/>
                <w:sz w:val="22"/>
                <w:szCs w:val="22"/>
              </w:rPr>
            </w:pPr>
            <w:r w:rsidRPr="008B1CF6">
              <w:rPr>
                <w:rFonts w:ascii="Public Sans" w:hAnsi="Public Sans" w:cs="Arial"/>
                <w:color w:val="auto"/>
                <w:sz w:val="22"/>
                <w:szCs w:val="22"/>
              </w:rPr>
              <w:t>17 November 2025</w:t>
            </w:r>
            <w:r w:rsidR="009119DA" w:rsidRPr="008B1CF6">
              <w:rPr>
                <w:rFonts w:ascii="Public Sans" w:hAnsi="Public Sans" w:cs="Arial"/>
                <w:color w:val="auto"/>
                <w:sz w:val="22"/>
                <w:szCs w:val="22"/>
              </w:rPr>
              <w:t xml:space="preserve"> </w:t>
            </w:r>
          </w:p>
        </w:tc>
        <w:tc>
          <w:tcPr>
            <w:tcW w:w="2561" w:type="dxa"/>
            <w:tcBorders>
              <w:top w:val="single" w:sz="8" w:space="0" w:color="FFFFFF"/>
              <w:left w:val="nil"/>
              <w:bottom w:val="single" w:sz="8" w:space="0" w:color="FFFFFF"/>
              <w:right w:val="nil"/>
            </w:tcBorders>
            <w:shd w:val="clear" w:color="auto" w:fill="C6D9F1"/>
          </w:tcPr>
          <w:p w14:paraId="38B5F536" w14:textId="70586DBA"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 xml:space="preserve">Ref: </w:t>
            </w:r>
            <w:r w:rsidR="00B9405B" w:rsidRPr="008B1CF6">
              <w:rPr>
                <w:rFonts w:ascii="Public Sans" w:hAnsi="Public Sans" w:cs="Arial"/>
                <w:b/>
                <w:color w:val="auto"/>
                <w:sz w:val="22"/>
                <w:szCs w:val="22"/>
              </w:rPr>
              <w:t>B1/0017</w:t>
            </w:r>
          </w:p>
        </w:tc>
      </w:tr>
      <w:tr w:rsidR="00805C33" w:rsidRPr="008B1CF6" w14:paraId="59E7B829"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33EDF34F" w14:textId="77777777" w:rsidR="00805C33" w:rsidRPr="008B1CF6" w:rsidRDefault="00805C33" w:rsidP="00805C33">
            <w:pPr>
              <w:pStyle w:val="TableTextWhite"/>
              <w:rPr>
                <w:rFonts w:ascii="Public Sans" w:hAnsi="Public Sans" w:cs="Arial"/>
                <w:b/>
                <w:color w:val="auto"/>
                <w:sz w:val="22"/>
                <w:szCs w:val="22"/>
              </w:rPr>
            </w:pPr>
            <w:r w:rsidRPr="008B1CF6">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4A9BE687" w14:textId="30550F4F" w:rsidR="00805C33" w:rsidRPr="008B1CF6" w:rsidRDefault="00194335" w:rsidP="00805C33">
            <w:pPr>
              <w:pStyle w:val="TableTextWhite"/>
              <w:rPr>
                <w:rFonts w:ascii="Public Sans" w:hAnsi="Public Sans" w:cs="Arial"/>
                <w:color w:val="auto"/>
                <w:sz w:val="22"/>
                <w:szCs w:val="22"/>
              </w:rPr>
            </w:pPr>
            <w:hyperlink r:id="rId8" w:history="1">
              <w:r w:rsidRPr="008B1CF6">
                <w:rPr>
                  <w:rStyle w:val="Hyperlink"/>
                  <w:rFonts w:ascii="Public Sans" w:hAnsi="Public Sans" w:cs="Arial"/>
                  <w:sz w:val="22"/>
                  <w:szCs w:val="22"/>
                </w:rPr>
                <w:t>www.dcj.nsw.gov.au</w:t>
              </w:r>
            </w:hyperlink>
          </w:p>
        </w:tc>
      </w:tr>
    </w:tbl>
    <w:p w14:paraId="144EA478" w14:textId="77777777" w:rsidR="00B9405B" w:rsidRPr="008B1CF6" w:rsidRDefault="00B9405B" w:rsidP="00B9405B">
      <w:pPr>
        <w:jc w:val="both"/>
        <w:rPr>
          <w:rFonts w:ascii="Public Sans" w:hAnsi="Public Sans" w:cstheme="minorHAnsi"/>
          <w:b/>
          <w:i/>
          <w:color w:val="FF0000"/>
        </w:rPr>
      </w:pPr>
      <w:r w:rsidRPr="008B1CF6">
        <w:rPr>
          <w:rFonts w:ascii="Public Sans" w:hAnsi="Public Sans" w:cstheme="minorHAnsi"/>
          <w:b/>
          <w:i/>
        </w:rPr>
        <w:t xml:space="preserve">Please see job notes and/or advertisement for more information on specific role qualification requirements and relevant experience. </w:t>
      </w:r>
    </w:p>
    <w:p w14:paraId="28085128" w14:textId="77777777" w:rsidR="00B9405B" w:rsidRPr="008B1CF6" w:rsidRDefault="00B9405B" w:rsidP="00B9405B">
      <w:pPr>
        <w:pStyle w:val="Heading1"/>
        <w:spacing w:line="240" w:lineRule="auto"/>
        <w:rPr>
          <w:rFonts w:ascii="Public Sans" w:hAnsi="Public Sans" w:cstheme="minorHAnsi"/>
          <w:b w:val="0"/>
          <w:bCs w:val="0"/>
          <w:sz w:val="24"/>
          <w:szCs w:val="24"/>
        </w:rPr>
      </w:pPr>
      <w:r w:rsidRPr="008B1CF6">
        <w:rPr>
          <w:rFonts w:ascii="Public Sans" w:hAnsi="Public Sans" w:cstheme="minorHAnsi"/>
          <w:sz w:val="24"/>
          <w:szCs w:val="24"/>
        </w:rPr>
        <w:t>Agency overview</w:t>
      </w:r>
    </w:p>
    <w:p w14:paraId="621E42E5" w14:textId="77777777" w:rsidR="00B9405B" w:rsidRPr="008B1CF6" w:rsidRDefault="00B9405B" w:rsidP="00B9405B">
      <w:pPr>
        <w:jc w:val="both"/>
        <w:rPr>
          <w:rFonts w:ascii="Public Sans" w:hAnsi="Public Sans" w:cs="Arial"/>
        </w:rPr>
      </w:pPr>
      <w:bookmarkStart w:id="0" w:name="_Hlk167958097"/>
      <w:r w:rsidRPr="008B1CF6">
        <w:rPr>
          <w:rFonts w:ascii="Public Sans" w:hAnsi="Public Sans" w:cs="Arial"/>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3DF94374" w14:textId="77777777" w:rsidR="00B9405B" w:rsidRPr="008B1CF6" w:rsidRDefault="00B9405B" w:rsidP="00B9405B">
      <w:pPr>
        <w:jc w:val="both"/>
        <w:rPr>
          <w:rFonts w:ascii="Public Sans" w:hAnsi="Public Sans" w:cs="Arial"/>
        </w:rPr>
      </w:pPr>
      <w:r w:rsidRPr="008B1CF6">
        <w:rPr>
          <w:rFonts w:ascii="Public Sans" w:hAnsi="Public Sans" w:cs="Arial"/>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10A82401" w14:textId="77777777" w:rsidR="00805C33" w:rsidRPr="008B1CF6" w:rsidRDefault="00805C33" w:rsidP="00805C33">
      <w:pPr>
        <w:spacing w:before="40" w:line="400" w:lineRule="atLeast"/>
        <w:outlineLvl w:val="0"/>
        <w:rPr>
          <w:rFonts w:ascii="Public Sans" w:hAnsi="Public Sans" w:cs="Arial"/>
          <w:b/>
          <w:bCs/>
          <w:kern w:val="32"/>
          <w:sz w:val="24"/>
          <w:szCs w:val="24"/>
        </w:rPr>
      </w:pPr>
      <w:r w:rsidRPr="008B1CF6">
        <w:rPr>
          <w:rFonts w:ascii="Public Sans" w:hAnsi="Public Sans" w:cs="Arial"/>
          <w:b/>
          <w:bCs/>
          <w:kern w:val="32"/>
          <w:sz w:val="24"/>
          <w:szCs w:val="24"/>
        </w:rPr>
        <w:t>Primary purpose of the role</w:t>
      </w:r>
    </w:p>
    <w:p w14:paraId="1D79F1AA" w14:textId="1A81D867" w:rsidR="00805C33" w:rsidRPr="008B1CF6" w:rsidRDefault="00805C33" w:rsidP="00023744">
      <w:pPr>
        <w:jc w:val="both"/>
        <w:rPr>
          <w:rFonts w:ascii="Public Sans" w:hAnsi="Public Sans" w:cs="Arial"/>
        </w:rPr>
      </w:pPr>
      <w:r w:rsidRPr="008B1CF6">
        <w:rPr>
          <w:rFonts w:ascii="Public Sans" w:hAnsi="Public Sans" w:cs="Arial"/>
          <w:szCs w:val="22"/>
        </w:rPr>
        <w:t xml:space="preserve">The Director and Assistant Principal Registrar, Superior Courts </w:t>
      </w:r>
      <w:r w:rsidRPr="008B1CF6">
        <w:rPr>
          <w:rFonts w:ascii="Public Sans" w:hAnsi="Public Sans" w:cs="Arial"/>
        </w:rPr>
        <w:t xml:space="preserve">provides strategic leadership and management of the delivery of legal services for the Superior Courts of NSW. The role also undertakes the statutory duties of the Prothonotary, which is an established office within the Supreme Court of NSW (section 119 of the </w:t>
      </w:r>
      <w:r w:rsidRPr="008B1CF6">
        <w:rPr>
          <w:rFonts w:ascii="Public Sans" w:hAnsi="Public Sans" w:cs="Arial"/>
          <w:i/>
        </w:rPr>
        <w:t xml:space="preserve">Supreme Court Act, 1970) </w:t>
      </w:r>
      <w:r w:rsidRPr="008B1CF6">
        <w:rPr>
          <w:rFonts w:ascii="Public Sans" w:hAnsi="Public Sans" w:cs="Arial"/>
        </w:rPr>
        <w:t>(“the Act”) and</w:t>
      </w:r>
      <w:r w:rsidRPr="008B1CF6">
        <w:rPr>
          <w:rFonts w:ascii="Public Sans" w:hAnsi="Public Sans" w:cs="Arial"/>
          <w:i/>
        </w:rPr>
        <w:t xml:space="preserve"> </w:t>
      </w:r>
      <w:r w:rsidRPr="008B1CF6">
        <w:rPr>
          <w:rFonts w:ascii="Public Sans" w:hAnsi="Public Sans" w:cs="Arial"/>
        </w:rPr>
        <w:t>the exercise of powers and duties of that role that are defined in the Act and Rules.</w:t>
      </w:r>
    </w:p>
    <w:p w14:paraId="6A38BC2E" w14:textId="77777777" w:rsidR="00805C33" w:rsidRPr="008B1CF6" w:rsidRDefault="00805C33" w:rsidP="00805C33">
      <w:pPr>
        <w:tabs>
          <w:tab w:val="center" w:pos="5244"/>
        </w:tabs>
        <w:spacing w:line="400" w:lineRule="atLeast"/>
        <w:outlineLvl w:val="0"/>
        <w:rPr>
          <w:rFonts w:ascii="Public Sans" w:hAnsi="Public Sans" w:cs="Arial"/>
          <w:b/>
          <w:bCs/>
          <w:kern w:val="32"/>
          <w:sz w:val="24"/>
          <w:szCs w:val="24"/>
        </w:rPr>
      </w:pPr>
      <w:r w:rsidRPr="008B1CF6">
        <w:rPr>
          <w:rFonts w:ascii="Public Sans" w:hAnsi="Public Sans" w:cs="Arial"/>
          <w:b/>
          <w:bCs/>
          <w:kern w:val="32"/>
          <w:sz w:val="24"/>
          <w:szCs w:val="24"/>
        </w:rPr>
        <w:t>Key accountabilities</w:t>
      </w:r>
    </w:p>
    <w:p w14:paraId="022DF849" w14:textId="56B3FE96" w:rsidR="00F72A32" w:rsidRPr="008B1CF6" w:rsidRDefault="00805C33" w:rsidP="00805C33">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t xml:space="preserve">Lead and direct the overall operation of </w:t>
      </w:r>
      <w:r w:rsidR="002231CD" w:rsidRPr="008B1CF6">
        <w:rPr>
          <w:rFonts w:ascii="Public Sans" w:hAnsi="Public Sans" w:cs="Arial"/>
        </w:rPr>
        <w:t xml:space="preserve">court services delivered by registrars within the Supreme Court </w:t>
      </w:r>
      <w:r w:rsidR="006F5DBB" w:rsidRPr="008B1CF6">
        <w:rPr>
          <w:rFonts w:ascii="Public Sans" w:hAnsi="Public Sans" w:cs="Arial"/>
        </w:rPr>
        <w:t xml:space="preserve">and the Industrial Relations Commission </w:t>
      </w:r>
      <w:r w:rsidRPr="008B1CF6">
        <w:rPr>
          <w:rFonts w:ascii="Public Sans" w:hAnsi="Public Sans" w:cs="Arial"/>
        </w:rPr>
        <w:t xml:space="preserve">to ensure it operates effectively and efficiently to meet client needs and strategic business directions. </w:t>
      </w:r>
    </w:p>
    <w:p w14:paraId="256F9D30" w14:textId="26B5D569" w:rsidR="00F72A32" w:rsidRPr="008B1CF6" w:rsidRDefault="00B222DE" w:rsidP="00805C33">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t>Model good leadership to inspire direction and delivery, develop people, and drive change.</w:t>
      </w:r>
      <w:r w:rsidR="000F3D44" w:rsidRPr="008B1CF6">
        <w:rPr>
          <w:rFonts w:ascii="Public Sans" w:hAnsi="Public Sans" w:cs="Arial"/>
        </w:rPr>
        <w:t xml:space="preserve"> </w:t>
      </w:r>
      <w:r w:rsidR="008F1206" w:rsidRPr="008B1CF6">
        <w:rPr>
          <w:rFonts w:ascii="Public Sans" w:hAnsi="Public Sans" w:cs="Arial"/>
        </w:rPr>
        <w:t xml:space="preserve"> </w:t>
      </w:r>
      <w:r w:rsidR="00805C33" w:rsidRPr="008B1CF6">
        <w:rPr>
          <w:rFonts w:ascii="Public Sans" w:hAnsi="Public Sans" w:cs="Arial"/>
        </w:rPr>
        <w:t xml:space="preserve">Building and sustaining the expertise and capability of </w:t>
      </w:r>
      <w:r w:rsidR="002231CD" w:rsidRPr="008B1CF6">
        <w:rPr>
          <w:rFonts w:ascii="Public Sans" w:hAnsi="Public Sans" w:cs="Arial"/>
        </w:rPr>
        <w:t xml:space="preserve">registrars within the Supreme Court </w:t>
      </w:r>
      <w:r w:rsidR="006F5DBB" w:rsidRPr="008B1CF6">
        <w:rPr>
          <w:rFonts w:ascii="Public Sans" w:hAnsi="Public Sans" w:cs="Arial"/>
        </w:rPr>
        <w:t xml:space="preserve">and the Industrial Relations Commission </w:t>
      </w:r>
      <w:r w:rsidR="00805C33" w:rsidRPr="008B1CF6">
        <w:rPr>
          <w:rFonts w:ascii="Public Sans" w:hAnsi="Public Sans" w:cs="Arial"/>
        </w:rPr>
        <w:t>to deliver high quality services that meet a broad range of client needs</w:t>
      </w:r>
      <w:r w:rsidRPr="008B1CF6">
        <w:rPr>
          <w:rFonts w:ascii="Public Sans" w:hAnsi="Public Sans" w:cs="Arial"/>
        </w:rPr>
        <w:t xml:space="preserve">.  </w:t>
      </w:r>
    </w:p>
    <w:p w14:paraId="5C6B79B4" w14:textId="07B9D54B" w:rsidR="00F72A32" w:rsidRPr="008B1CF6" w:rsidRDefault="00B222DE" w:rsidP="00805C33">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lastRenderedPageBreak/>
        <w:t>Exercising statutory and delegated quasi-judicial functions to conduct directions hearings, conduct mediations, hear and determine interlocutory applications by applying the facts to the relevant law and communicating an outcome by providing ex tempore or written judgments</w:t>
      </w:r>
      <w:r w:rsidR="002231CD" w:rsidRPr="008B1CF6">
        <w:rPr>
          <w:rFonts w:ascii="Public Sans" w:hAnsi="Public Sans" w:cs="Arial"/>
        </w:rPr>
        <w:t>.</w:t>
      </w:r>
    </w:p>
    <w:p w14:paraId="58E8E0D6" w14:textId="02323D6F" w:rsidR="00F72A32" w:rsidRPr="008B1CF6" w:rsidRDefault="00805C33" w:rsidP="00805C33">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t>Negotiate and advocate policy in the area of legal service delivery and interpretation of legal precedent and court practice including registry support to the judiciary.</w:t>
      </w:r>
      <w:r w:rsidR="00B222DE" w:rsidRPr="008B1CF6">
        <w:rPr>
          <w:rFonts w:ascii="Public Sans" w:hAnsi="Public Sans" w:cs="Arial"/>
        </w:rPr>
        <w:t xml:space="preserve"> </w:t>
      </w:r>
    </w:p>
    <w:p w14:paraId="5FFBE40B" w14:textId="56D32CB5" w:rsidR="00805C33" w:rsidRPr="008B1CF6" w:rsidRDefault="00805C33" w:rsidP="00805C33">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t xml:space="preserve">Manage </w:t>
      </w:r>
      <w:r w:rsidR="002231CD" w:rsidRPr="008B1CF6">
        <w:rPr>
          <w:rFonts w:ascii="Public Sans" w:hAnsi="Public Sans" w:cs="Arial"/>
        </w:rPr>
        <w:t xml:space="preserve">registrar </w:t>
      </w:r>
      <w:r w:rsidRPr="008B1CF6">
        <w:rPr>
          <w:rFonts w:ascii="Public Sans" w:hAnsi="Public Sans" w:cs="Arial"/>
        </w:rPr>
        <w:t>staffing, financial and other resources to meet organisational goals and priorities.</w:t>
      </w:r>
      <w:r w:rsidR="00B222DE" w:rsidRPr="008B1CF6">
        <w:rPr>
          <w:rFonts w:ascii="Public Sans" w:hAnsi="Public Sans" w:cs="Arial"/>
        </w:rPr>
        <w:t xml:space="preserve">  </w:t>
      </w:r>
      <w:r w:rsidR="00B222DE" w:rsidRPr="008B1CF6">
        <w:rPr>
          <w:rFonts w:ascii="Public Sans" w:eastAsia="Arial" w:hAnsi="Public Sans" w:cs="Arial"/>
          <w:szCs w:val="22"/>
        </w:rPr>
        <w:t>Adhere to all relevant governance requirements, including reporting to established governance bodies, and complying with relevant DCJ policies, procedures and delegations.</w:t>
      </w:r>
    </w:p>
    <w:p w14:paraId="0C85D39A" w14:textId="6A680A6C" w:rsidR="00D52EE2" w:rsidRPr="008B1CF6" w:rsidRDefault="00805C33" w:rsidP="00805C33">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t>Provide expert</w:t>
      </w:r>
      <w:r w:rsidR="000758AE" w:rsidRPr="008B1CF6">
        <w:rPr>
          <w:rFonts w:ascii="Public Sans" w:hAnsi="Public Sans" w:cs="Arial"/>
        </w:rPr>
        <w:t>, strategic and operational</w:t>
      </w:r>
      <w:r w:rsidRPr="008B1CF6">
        <w:rPr>
          <w:rFonts w:ascii="Public Sans" w:hAnsi="Public Sans" w:cs="Arial"/>
        </w:rPr>
        <w:t xml:space="preserve"> advice</w:t>
      </w:r>
      <w:r w:rsidR="000758AE" w:rsidRPr="008B1CF6">
        <w:rPr>
          <w:rFonts w:ascii="Public Sans" w:hAnsi="Public Sans" w:cs="Arial"/>
        </w:rPr>
        <w:t>, analysis, solutions and recommendations</w:t>
      </w:r>
      <w:r w:rsidRPr="008B1CF6">
        <w:rPr>
          <w:rFonts w:ascii="Public Sans" w:hAnsi="Public Sans" w:cs="Arial"/>
        </w:rPr>
        <w:t xml:space="preserve"> to the Executive Director and Principal Registrar, Superior Courts on complex legal issues that are likely to impact on the functioning of the Superior Courts and the delivery of services. Respond to requests for briefings from the Minister’s Office, the Ministerial Liaison Unit or the Department regarding issues, </w:t>
      </w:r>
      <w:r w:rsidR="002231CD" w:rsidRPr="008B1CF6">
        <w:rPr>
          <w:rFonts w:ascii="Public Sans" w:hAnsi="Public Sans" w:cs="Arial"/>
        </w:rPr>
        <w:t xml:space="preserve">ex gratia applications, </w:t>
      </w:r>
      <w:r w:rsidRPr="008B1CF6">
        <w:rPr>
          <w:rFonts w:ascii="Public Sans" w:hAnsi="Public Sans" w:cs="Arial"/>
        </w:rPr>
        <w:t xml:space="preserve">draft legislation and complaints. </w:t>
      </w:r>
    </w:p>
    <w:p w14:paraId="249F49C1" w14:textId="401BF405" w:rsidR="00D52EE2" w:rsidRPr="008B1CF6" w:rsidRDefault="00D52EE2" w:rsidP="00805C33">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t xml:space="preserve">Carry out the statutory functions of the office of Prothonotary </w:t>
      </w:r>
      <w:r w:rsidR="000E7641" w:rsidRPr="008B1CF6">
        <w:rPr>
          <w:rFonts w:ascii="Public Sans" w:hAnsi="Public Sans" w:cs="Arial"/>
        </w:rPr>
        <w:t xml:space="preserve">which include but are not limited to </w:t>
      </w:r>
      <w:r w:rsidRPr="008B1CF6">
        <w:rPr>
          <w:rFonts w:ascii="Public Sans" w:hAnsi="Public Sans" w:cs="Arial"/>
        </w:rPr>
        <w:t xml:space="preserve">determining whether prosecutions for contempt of court </w:t>
      </w:r>
      <w:r w:rsidR="000E7641" w:rsidRPr="008B1CF6">
        <w:rPr>
          <w:rFonts w:ascii="Public Sans" w:hAnsi="Public Sans" w:cs="Arial"/>
        </w:rPr>
        <w:t xml:space="preserve">and the removal of legal practitioners from the local Roll </w:t>
      </w:r>
      <w:r w:rsidRPr="008B1CF6">
        <w:rPr>
          <w:rFonts w:ascii="Public Sans" w:hAnsi="Public Sans" w:cs="Arial"/>
        </w:rPr>
        <w:t>should be brought and successfully prosecuting such matters before the</w:t>
      </w:r>
      <w:r w:rsidR="00D419EC" w:rsidRPr="008B1CF6">
        <w:rPr>
          <w:rFonts w:ascii="Public Sans" w:hAnsi="Public Sans" w:cs="Arial"/>
        </w:rPr>
        <w:t xml:space="preserve"> Supreme</w:t>
      </w:r>
      <w:r w:rsidRPr="008B1CF6">
        <w:rPr>
          <w:rFonts w:ascii="Public Sans" w:hAnsi="Public Sans" w:cs="Arial"/>
        </w:rPr>
        <w:t xml:space="preserve"> Court</w:t>
      </w:r>
      <w:r w:rsidR="000F3D44" w:rsidRPr="008B1CF6">
        <w:rPr>
          <w:rFonts w:ascii="Public Sans" w:hAnsi="Public Sans" w:cs="Arial"/>
        </w:rPr>
        <w:t>,</w:t>
      </w:r>
      <w:r w:rsidR="00B222DE" w:rsidRPr="008B1CF6">
        <w:rPr>
          <w:rFonts w:ascii="Public Sans" w:hAnsi="Public Sans" w:cs="Arial"/>
        </w:rPr>
        <w:t xml:space="preserve"> </w:t>
      </w:r>
      <w:r w:rsidR="000F3D44" w:rsidRPr="008B1CF6">
        <w:rPr>
          <w:rFonts w:ascii="Public Sans" w:hAnsi="Public Sans" w:cs="Arial"/>
        </w:rPr>
        <w:t>and sitting as the Secretary of the Uniform Civil Procedure Rules and Supreme Court Rules Committees including the provision of expert advice to each committee on necessary legislative change.</w:t>
      </w:r>
    </w:p>
    <w:p w14:paraId="291CD311" w14:textId="18255E39" w:rsidR="00836D4C" w:rsidRPr="008B1CF6" w:rsidRDefault="0042454A" w:rsidP="008F1206">
      <w:pPr>
        <w:numPr>
          <w:ilvl w:val="0"/>
          <w:numId w:val="1"/>
        </w:numPr>
        <w:tabs>
          <w:tab w:val="clear" w:pos="360"/>
        </w:tabs>
        <w:spacing w:before="120" w:after="0" w:line="240" w:lineRule="auto"/>
        <w:ind w:left="567" w:hanging="425"/>
        <w:rPr>
          <w:rFonts w:ascii="Public Sans" w:hAnsi="Public Sans" w:cs="Arial"/>
        </w:rPr>
      </w:pPr>
      <w:r w:rsidRPr="008B1CF6">
        <w:rPr>
          <w:rFonts w:ascii="Public Sans" w:hAnsi="Public Sans" w:cs="Arial"/>
        </w:rPr>
        <w:t>Manage the largest probate registry in Australia</w:t>
      </w:r>
      <w:r w:rsidR="00EC6D77" w:rsidRPr="008B1CF6">
        <w:rPr>
          <w:rFonts w:ascii="Public Sans" w:hAnsi="Public Sans" w:cs="Arial"/>
        </w:rPr>
        <w:t>.</w:t>
      </w:r>
    </w:p>
    <w:p w14:paraId="10824FE8" w14:textId="2376E4CF" w:rsidR="00805C33" w:rsidRPr="008B1CF6" w:rsidRDefault="00805C33" w:rsidP="00805C33">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eastAsia="Arial" w:hAnsi="Public Sans" w:cs="Arial"/>
          <w:szCs w:val="22"/>
        </w:rPr>
        <w:t>Gather and report detailed performance data against key indicators to generate actionable improvements to the quality of services offered by the Superior Courts</w:t>
      </w:r>
      <w:r w:rsidR="008F1206" w:rsidRPr="008B1CF6">
        <w:rPr>
          <w:rFonts w:ascii="Public Sans" w:eastAsia="Arial" w:hAnsi="Public Sans" w:cs="Arial"/>
          <w:szCs w:val="22"/>
        </w:rPr>
        <w:t xml:space="preserve"> </w:t>
      </w:r>
      <w:r w:rsidR="000737C3" w:rsidRPr="008B1CF6">
        <w:rPr>
          <w:rFonts w:ascii="Public Sans" w:eastAsia="Arial" w:hAnsi="Public Sans" w:cs="Arial"/>
          <w:szCs w:val="22"/>
        </w:rPr>
        <w:t>by</w:t>
      </w:r>
      <w:r w:rsidR="008F1206" w:rsidRPr="008B1CF6">
        <w:rPr>
          <w:rFonts w:ascii="Public Sans" w:hAnsi="Public Sans" w:cs="Arial"/>
          <w:szCs w:val="22"/>
        </w:rPr>
        <w:t xml:space="preserve"> identify</w:t>
      </w:r>
      <w:r w:rsidR="000737C3" w:rsidRPr="008B1CF6">
        <w:rPr>
          <w:rFonts w:ascii="Public Sans" w:hAnsi="Public Sans" w:cs="Arial"/>
          <w:szCs w:val="22"/>
        </w:rPr>
        <w:t>ing</w:t>
      </w:r>
      <w:r w:rsidR="008F1206" w:rsidRPr="008B1CF6">
        <w:rPr>
          <w:rFonts w:ascii="Public Sans" w:hAnsi="Public Sans" w:cs="Arial"/>
          <w:szCs w:val="22"/>
        </w:rPr>
        <w:t xml:space="preserve"> and implement</w:t>
      </w:r>
      <w:r w:rsidR="000737C3" w:rsidRPr="008B1CF6">
        <w:rPr>
          <w:rFonts w:ascii="Public Sans" w:hAnsi="Public Sans" w:cs="Arial"/>
          <w:szCs w:val="22"/>
        </w:rPr>
        <w:t>ing</w:t>
      </w:r>
      <w:r w:rsidR="008F1206" w:rsidRPr="008B1CF6">
        <w:rPr>
          <w:rFonts w:ascii="Public Sans" w:hAnsi="Public Sans" w:cs="Arial"/>
          <w:szCs w:val="22"/>
        </w:rPr>
        <w:t xml:space="preserve"> strategy and innovation opportunities that support the strategic direction of Superior Courts, </w:t>
      </w:r>
      <w:r w:rsidR="008F1206" w:rsidRPr="008B1CF6">
        <w:rPr>
          <w:rFonts w:ascii="Public Sans" w:hAnsi="Public Sans" w:cs="Arial"/>
        </w:rPr>
        <w:t>other cross organisational programs and projects and Government's broader agenda</w:t>
      </w:r>
      <w:r w:rsidR="00A15A4C" w:rsidRPr="008B1CF6">
        <w:rPr>
          <w:rFonts w:ascii="Public Sans" w:hAnsi="Public Sans" w:cs="Arial"/>
        </w:rPr>
        <w:t>.</w:t>
      </w:r>
    </w:p>
    <w:p w14:paraId="724028BB" w14:textId="24F867C6" w:rsidR="00805C33" w:rsidRPr="008B1CF6" w:rsidRDefault="00805C33" w:rsidP="00805C33">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hAnsi="Public Sans" w:cs="Arial"/>
          <w:szCs w:val="22"/>
        </w:rPr>
        <w:t>Manage relationships with relevant government agencies, professional bodies, key stakeholders and the public to receive feedback, communicate information, and create awareness of and confidence in the Court’s process and services</w:t>
      </w:r>
      <w:r w:rsidR="00B222DE" w:rsidRPr="008B1CF6">
        <w:rPr>
          <w:rFonts w:ascii="Public Sans" w:hAnsi="Public Sans" w:cs="Arial"/>
          <w:szCs w:val="22"/>
        </w:rPr>
        <w:t>.</w:t>
      </w:r>
      <w:r w:rsidR="000737C3" w:rsidRPr="008B1CF6">
        <w:rPr>
          <w:rFonts w:ascii="Public Sans" w:eastAsia="Arial" w:hAnsi="Public Sans" w:cs="Arial"/>
          <w:szCs w:val="22"/>
        </w:rPr>
        <w:t xml:space="preserve"> </w:t>
      </w:r>
    </w:p>
    <w:p w14:paraId="2DDEF3AB" w14:textId="7416B6F7" w:rsidR="00F72A32" w:rsidRPr="008B1CF6" w:rsidRDefault="00805C33" w:rsidP="00F72A32">
      <w:pPr>
        <w:numPr>
          <w:ilvl w:val="0"/>
          <w:numId w:val="1"/>
        </w:numPr>
        <w:tabs>
          <w:tab w:val="clear" w:pos="360"/>
        </w:tabs>
        <w:spacing w:before="120" w:after="0" w:line="240" w:lineRule="auto"/>
        <w:ind w:left="567" w:hanging="425"/>
        <w:rPr>
          <w:rFonts w:ascii="Public Sans" w:hAnsi="Public Sans" w:cs="Arial"/>
          <w:b/>
          <w:bCs/>
          <w:kern w:val="32"/>
          <w:sz w:val="24"/>
          <w:szCs w:val="24"/>
        </w:rPr>
      </w:pPr>
      <w:r w:rsidRPr="008B1CF6">
        <w:rPr>
          <w:rFonts w:ascii="Public Sans" w:hAnsi="Public Sans" w:cs="Arial"/>
        </w:rPr>
        <w:t>Contribute to the corporate planning, policy development and decision making as a member of the Superior Court</w:t>
      </w:r>
      <w:r w:rsidR="002231CD" w:rsidRPr="008B1CF6">
        <w:rPr>
          <w:rFonts w:ascii="Public Sans" w:hAnsi="Public Sans" w:cs="Arial"/>
        </w:rPr>
        <w:t>s</w:t>
      </w:r>
      <w:r w:rsidRPr="008B1CF6">
        <w:rPr>
          <w:rFonts w:ascii="Public Sans" w:hAnsi="Public Sans" w:cs="Arial"/>
        </w:rPr>
        <w:t xml:space="preserve"> Executive and ensure successful implementation of corporate decisions</w:t>
      </w:r>
      <w:r w:rsidR="000F3D44" w:rsidRPr="008B1CF6">
        <w:rPr>
          <w:rFonts w:ascii="Public Sans" w:hAnsi="Public Sans" w:cs="Arial"/>
        </w:rPr>
        <w:t xml:space="preserve"> including taking the lead and developing high value and complex transformation and reform programs for the efficient delivery of court services across multiple jurisdictions on behalf of the Courts, Tribunals and Service Delivery (CTSD) Division including working with project delivery teams to effect all program outcomes</w:t>
      </w:r>
    </w:p>
    <w:p w14:paraId="28ABEA0B" w14:textId="77777777" w:rsidR="00F72A32" w:rsidRPr="008B1CF6" w:rsidRDefault="00F72A32" w:rsidP="00F72A32">
      <w:pPr>
        <w:spacing w:before="120" w:after="0" w:line="240" w:lineRule="auto"/>
        <w:ind w:left="142"/>
        <w:rPr>
          <w:rFonts w:ascii="Public Sans" w:hAnsi="Public Sans" w:cs="Arial"/>
          <w:b/>
          <w:bCs/>
          <w:kern w:val="32"/>
          <w:sz w:val="24"/>
          <w:szCs w:val="24"/>
        </w:rPr>
      </w:pPr>
    </w:p>
    <w:p w14:paraId="79182E38" w14:textId="72D6774E" w:rsidR="00805C33" w:rsidRPr="008B1CF6" w:rsidRDefault="00805C33" w:rsidP="00F72A32">
      <w:pPr>
        <w:spacing w:before="120" w:after="0" w:line="240" w:lineRule="auto"/>
        <w:ind w:left="142"/>
        <w:rPr>
          <w:rFonts w:ascii="Public Sans" w:hAnsi="Public Sans" w:cs="Arial"/>
          <w:b/>
          <w:bCs/>
          <w:kern w:val="32"/>
          <w:sz w:val="24"/>
          <w:szCs w:val="24"/>
        </w:rPr>
      </w:pPr>
      <w:r w:rsidRPr="008B1CF6">
        <w:rPr>
          <w:rFonts w:ascii="Public Sans" w:hAnsi="Public Sans" w:cs="Arial"/>
          <w:b/>
          <w:bCs/>
          <w:kern w:val="32"/>
          <w:sz w:val="24"/>
          <w:szCs w:val="24"/>
        </w:rPr>
        <w:t>Key challenges</w:t>
      </w:r>
    </w:p>
    <w:p w14:paraId="2FB20BC9" w14:textId="1FEB18DD" w:rsidR="00805C33" w:rsidRPr="008B1CF6" w:rsidRDefault="00805C33" w:rsidP="00805C33">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hAnsi="Public Sans" w:cs="Arial"/>
        </w:rPr>
        <w:t>Anticipating and assessing the impact of changes (legislative, practice, policy or technology) on contemporary legal service requirements</w:t>
      </w:r>
      <w:r w:rsidRPr="008B1CF6">
        <w:rPr>
          <w:rFonts w:ascii="Public Sans" w:eastAsia="Arial" w:hAnsi="Public Sans" w:cs="Arial"/>
          <w:szCs w:val="22"/>
        </w:rPr>
        <w:t>, and develop strategies and action plans for meeting anticipated demands effectively and efficiently</w:t>
      </w:r>
      <w:r w:rsidR="00907DE1" w:rsidRPr="008B1CF6">
        <w:rPr>
          <w:rFonts w:ascii="Public Sans" w:eastAsia="Arial" w:hAnsi="Public Sans" w:cs="Arial"/>
          <w:szCs w:val="22"/>
        </w:rPr>
        <w:t xml:space="preserve"> while optimising stakeholder confidence in Superior Court</w:t>
      </w:r>
      <w:r w:rsidR="00723E6D" w:rsidRPr="008B1CF6">
        <w:rPr>
          <w:rFonts w:ascii="Public Sans" w:eastAsia="Arial" w:hAnsi="Public Sans" w:cs="Arial"/>
          <w:szCs w:val="22"/>
        </w:rPr>
        <w:t>s’ capacity to deliver outcomes</w:t>
      </w:r>
      <w:r w:rsidRPr="008B1CF6">
        <w:rPr>
          <w:rFonts w:ascii="Public Sans" w:eastAsia="Arial" w:hAnsi="Public Sans" w:cs="Arial"/>
          <w:szCs w:val="22"/>
        </w:rPr>
        <w:t xml:space="preserve">. </w:t>
      </w:r>
    </w:p>
    <w:p w14:paraId="5C7AF828" w14:textId="77777777" w:rsidR="00805C33" w:rsidRPr="008B1CF6" w:rsidRDefault="00805C33" w:rsidP="00805C33">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eastAsia="Arial" w:hAnsi="Public Sans" w:cs="Arial"/>
          <w:szCs w:val="22"/>
        </w:rPr>
        <w:t>Identify and implement innovations to achieve the most effective utilisation of resources, improve and expand the accessibility of legal services to clients in line with current and future business needs.</w:t>
      </w:r>
    </w:p>
    <w:p w14:paraId="748F0413" w14:textId="44EDDF86" w:rsidR="00805C33" w:rsidRPr="008B1CF6" w:rsidRDefault="00805C33" w:rsidP="00805C33">
      <w:pPr>
        <w:numPr>
          <w:ilvl w:val="0"/>
          <w:numId w:val="1"/>
        </w:numPr>
        <w:tabs>
          <w:tab w:val="clear" w:pos="360"/>
        </w:tabs>
        <w:spacing w:before="120" w:after="200" w:line="240" w:lineRule="auto"/>
        <w:ind w:left="567" w:hanging="425"/>
        <w:rPr>
          <w:rFonts w:ascii="Public Sans" w:eastAsia="Arial" w:hAnsi="Public Sans" w:cs="Arial"/>
          <w:szCs w:val="22"/>
        </w:rPr>
      </w:pPr>
      <w:r w:rsidRPr="008B1CF6">
        <w:rPr>
          <w:rFonts w:ascii="Public Sans" w:eastAsia="Arial" w:hAnsi="Public Sans" w:cs="Arial"/>
          <w:szCs w:val="22"/>
        </w:rPr>
        <w:t xml:space="preserve">Dealing with complex legal and procedural problems and resolving these problems by identifying the issues and relying on research and analytical skills to develop appropriate plans or advice.  </w:t>
      </w:r>
    </w:p>
    <w:p w14:paraId="74A4F93C" w14:textId="253B1A48" w:rsidR="00907DE1" w:rsidRPr="008B1CF6" w:rsidRDefault="00907DE1" w:rsidP="00805C33">
      <w:pPr>
        <w:numPr>
          <w:ilvl w:val="0"/>
          <w:numId w:val="1"/>
        </w:numPr>
        <w:tabs>
          <w:tab w:val="clear" w:pos="360"/>
        </w:tabs>
        <w:spacing w:before="120" w:after="200" w:line="240" w:lineRule="auto"/>
        <w:ind w:left="567" w:hanging="425"/>
        <w:rPr>
          <w:rFonts w:ascii="Public Sans" w:eastAsia="Arial" w:hAnsi="Public Sans" w:cs="Arial"/>
          <w:szCs w:val="22"/>
        </w:rPr>
      </w:pPr>
      <w:r w:rsidRPr="008B1CF6">
        <w:rPr>
          <w:rFonts w:ascii="Public Sans" w:hAnsi="Public Sans" w:cs="Arial"/>
          <w:szCs w:val="22"/>
          <w:shd w:val="clear" w:color="auto" w:fill="FFFFFF"/>
        </w:rPr>
        <w:lastRenderedPageBreak/>
        <w:t>Balancing appropriate focus on strategic priorities in a proactive manner while responding to frequent, urgent work requirements in a demanding and fast paced operational environment.</w:t>
      </w:r>
    </w:p>
    <w:p w14:paraId="2D9C3C2C" w14:textId="77777777" w:rsidR="00805C33" w:rsidRPr="008B1CF6" w:rsidRDefault="00805C33" w:rsidP="00805C33">
      <w:pPr>
        <w:spacing w:line="400" w:lineRule="atLeast"/>
        <w:outlineLvl w:val="0"/>
        <w:rPr>
          <w:rFonts w:ascii="Public Sans" w:hAnsi="Public Sans" w:cs="Arial"/>
          <w:b/>
          <w:bCs/>
          <w:kern w:val="32"/>
          <w:sz w:val="24"/>
          <w:szCs w:val="24"/>
        </w:rPr>
      </w:pPr>
      <w:r w:rsidRPr="008B1CF6">
        <w:rPr>
          <w:rFonts w:ascii="Public Sans" w:hAnsi="Public Sans" w:cs="Arial"/>
          <w:b/>
          <w:bCs/>
          <w:kern w:val="32"/>
          <w:sz w:val="24"/>
          <w:szCs w:val="24"/>
        </w:rPr>
        <w:t>Key relationships</w:t>
      </w:r>
    </w:p>
    <w:tbl>
      <w:tblPr>
        <w:tblStyle w:val="PSCPurple1"/>
        <w:tblW w:w="10547" w:type="dxa"/>
        <w:tblLayout w:type="fixed"/>
        <w:tblLook w:val="04A0" w:firstRow="1" w:lastRow="0" w:firstColumn="1" w:lastColumn="0" w:noHBand="0" w:noVBand="1"/>
      </w:tblPr>
      <w:tblGrid>
        <w:gridCol w:w="3601"/>
        <w:gridCol w:w="6946"/>
      </w:tblGrid>
      <w:tr w:rsidR="00805C33" w:rsidRPr="008B1CF6" w14:paraId="2CA07132" w14:textId="77777777" w:rsidTr="00D52EE2">
        <w:trPr>
          <w:cnfStyle w:val="100000000000" w:firstRow="1" w:lastRow="0" w:firstColumn="0" w:lastColumn="0" w:oddVBand="0" w:evenVBand="0" w:oddHBand="0" w:evenHBand="0" w:firstRowFirstColumn="0" w:firstRowLastColumn="0" w:lastRowFirstColumn="0" w:lastRowLastColumn="0"/>
          <w:tblHeader/>
        </w:trPr>
        <w:tc>
          <w:tcPr>
            <w:tcW w:w="3601" w:type="dxa"/>
          </w:tcPr>
          <w:p w14:paraId="5DBD33C8" w14:textId="77777777" w:rsidR="00805C33" w:rsidRPr="008B1CF6" w:rsidRDefault="00805C33" w:rsidP="00805C33">
            <w:pPr>
              <w:spacing w:before="40" w:after="40" w:line="280" w:lineRule="atLeast"/>
              <w:rPr>
                <w:rFonts w:ascii="Public Sans" w:hAnsi="Public Sans" w:cs="Arial"/>
                <w:b/>
                <w:color w:val="FFFFFF"/>
                <w:szCs w:val="22"/>
              </w:rPr>
            </w:pPr>
            <w:r w:rsidRPr="008B1CF6">
              <w:rPr>
                <w:rFonts w:ascii="Public Sans" w:hAnsi="Public Sans" w:cs="Arial"/>
                <w:b/>
                <w:color w:val="FFFFFF"/>
                <w:szCs w:val="22"/>
              </w:rPr>
              <w:t>Who</w:t>
            </w:r>
          </w:p>
        </w:tc>
        <w:tc>
          <w:tcPr>
            <w:tcW w:w="6946" w:type="dxa"/>
          </w:tcPr>
          <w:p w14:paraId="3E786AA7" w14:textId="77777777" w:rsidR="00805C33" w:rsidRPr="008B1CF6" w:rsidRDefault="00805C33" w:rsidP="00805C33">
            <w:pPr>
              <w:spacing w:before="40" w:after="40" w:line="280" w:lineRule="atLeast"/>
              <w:rPr>
                <w:rFonts w:ascii="Public Sans" w:hAnsi="Public Sans" w:cs="Arial"/>
                <w:b/>
                <w:color w:val="FFFFFF"/>
                <w:szCs w:val="22"/>
              </w:rPr>
            </w:pPr>
            <w:r w:rsidRPr="008B1CF6">
              <w:rPr>
                <w:rFonts w:ascii="Public Sans" w:hAnsi="Public Sans" w:cs="Arial"/>
                <w:b/>
                <w:color w:val="FFFFFF"/>
                <w:szCs w:val="22"/>
              </w:rPr>
              <w:t>Why</w:t>
            </w:r>
          </w:p>
        </w:tc>
      </w:tr>
      <w:tr w:rsidR="00805C33" w:rsidRPr="008B1CF6" w14:paraId="51D81FE1" w14:textId="77777777" w:rsidTr="00D52EE2">
        <w:tc>
          <w:tcPr>
            <w:tcW w:w="3601" w:type="dxa"/>
            <w:tcBorders>
              <w:top w:val="single" w:sz="8" w:space="0" w:color="auto"/>
              <w:bottom w:val="single" w:sz="8" w:space="0" w:color="auto"/>
            </w:tcBorders>
            <w:shd w:val="clear" w:color="auto" w:fill="BCBEC0"/>
          </w:tcPr>
          <w:p w14:paraId="22234D8D" w14:textId="77777777" w:rsidR="00805C33" w:rsidRPr="008B1CF6" w:rsidRDefault="00805C33" w:rsidP="00805C33">
            <w:pPr>
              <w:spacing w:before="40" w:after="40" w:line="280" w:lineRule="atLeast"/>
              <w:rPr>
                <w:rFonts w:ascii="Public Sans" w:hAnsi="Public Sans" w:cs="Arial"/>
                <w:b/>
                <w:szCs w:val="22"/>
              </w:rPr>
            </w:pPr>
            <w:r w:rsidRPr="008B1CF6">
              <w:rPr>
                <w:rFonts w:ascii="Public Sans" w:hAnsi="Public Sans" w:cs="Arial"/>
                <w:b/>
                <w:szCs w:val="22"/>
              </w:rPr>
              <w:t>Internal</w:t>
            </w:r>
          </w:p>
        </w:tc>
        <w:tc>
          <w:tcPr>
            <w:tcW w:w="6946" w:type="dxa"/>
            <w:tcBorders>
              <w:top w:val="single" w:sz="8" w:space="0" w:color="auto"/>
              <w:bottom w:val="single" w:sz="8" w:space="0" w:color="auto"/>
            </w:tcBorders>
            <w:shd w:val="clear" w:color="auto" w:fill="BCBEC0"/>
          </w:tcPr>
          <w:p w14:paraId="3F62F184" w14:textId="77777777" w:rsidR="00805C33" w:rsidRPr="008B1CF6" w:rsidRDefault="00805C33" w:rsidP="00805C33">
            <w:pPr>
              <w:spacing w:before="40" w:after="40" w:line="280" w:lineRule="atLeast"/>
              <w:rPr>
                <w:rFonts w:ascii="Public Sans" w:hAnsi="Public Sans" w:cs="Arial"/>
                <w:b/>
                <w:szCs w:val="22"/>
              </w:rPr>
            </w:pPr>
          </w:p>
        </w:tc>
      </w:tr>
      <w:tr w:rsidR="00E708EE" w:rsidRPr="008B1CF6" w14:paraId="4A444BED" w14:textId="77777777" w:rsidTr="00D52EE2">
        <w:trPr>
          <w:cantSplit/>
        </w:trPr>
        <w:tc>
          <w:tcPr>
            <w:tcW w:w="3601" w:type="dxa"/>
            <w:tcBorders>
              <w:top w:val="single" w:sz="8" w:space="0" w:color="auto"/>
              <w:bottom w:val="single" w:sz="8" w:space="0" w:color="auto"/>
            </w:tcBorders>
          </w:tcPr>
          <w:p w14:paraId="4333DF5A" w14:textId="30EE9CDF" w:rsidR="00E708EE" w:rsidRPr="008B1CF6" w:rsidRDefault="00E708EE" w:rsidP="00805C33">
            <w:pPr>
              <w:spacing w:before="40" w:after="40" w:line="280" w:lineRule="atLeast"/>
              <w:rPr>
                <w:rFonts w:ascii="Public Sans" w:hAnsi="Public Sans" w:cs="Arial"/>
                <w:szCs w:val="22"/>
              </w:rPr>
            </w:pPr>
            <w:r w:rsidRPr="008B1CF6">
              <w:rPr>
                <w:rFonts w:ascii="Public Sans" w:hAnsi="Public Sans" w:cs="Arial"/>
                <w:szCs w:val="22"/>
              </w:rPr>
              <w:t xml:space="preserve">Chief Justice </w:t>
            </w:r>
          </w:p>
        </w:tc>
        <w:tc>
          <w:tcPr>
            <w:tcW w:w="6946" w:type="dxa"/>
            <w:tcBorders>
              <w:top w:val="single" w:sz="8" w:space="0" w:color="auto"/>
              <w:bottom w:val="single" w:sz="8" w:space="0" w:color="auto"/>
            </w:tcBorders>
          </w:tcPr>
          <w:p w14:paraId="777BF7A6" w14:textId="188FA64E" w:rsidR="00E708EE" w:rsidRPr="008B1CF6" w:rsidRDefault="00E708EE"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 xml:space="preserve">Liaise regarding </w:t>
            </w:r>
            <w:r w:rsidR="002F27EE" w:rsidRPr="008B1CF6">
              <w:rPr>
                <w:rFonts w:ascii="Public Sans" w:hAnsi="Public Sans" w:cs="Arial"/>
                <w:szCs w:val="22"/>
              </w:rPr>
              <w:t>court services issues</w:t>
            </w:r>
            <w:r w:rsidRPr="008B1CF6">
              <w:rPr>
                <w:rFonts w:ascii="Public Sans" w:hAnsi="Public Sans" w:cs="Arial"/>
                <w:szCs w:val="22"/>
              </w:rPr>
              <w:t>, business approach to the implementation of reforms, and confer regarding legal policies and procedural matters</w:t>
            </w:r>
          </w:p>
          <w:p w14:paraId="59EBC7FD" w14:textId="77777777" w:rsidR="002F27EE" w:rsidRPr="008B1CF6" w:rsidRDefault="002F27EE" w:rsidP="00023744">
            <w:pPr>
              <w:spacing w:after="0" w:line="240" w:lineRule="auto"/>
              <w:ind w:left="176"/>
              <w:contextualSpacing/>
              <w:rPr>
                <w:rFonts w:ascii="Public Sans" w:hAnsi="Public Sans" w:cs="Arial"/>
                <w:szCs w:val="22"/>
              </w:rPr>
            </w:pPr>
          </w:p>
          <w:p w14:paraId="380C4874" w14:textId="5DA61497" w:rsidR="00E708EE" w:rsidRPr="008B1CF6" w:rsidRDefault="00E708EE"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Provide information on key activities, issues and risks.</w:t>
            </w:r>
          </w:p>
        </w:tc>
      </w:tr>
      <w:tr w:rsidR="00805C33" w:rsidRPr="008B1CF6" w14:paraId="0C8484BE" w14:textId="77777777" w:rsidTr="00D52EE2">
        <w:trPr>
          <w:cantSplit/>
        </w:trPr>
        <w:tc>
          <w:tcPr>
            <w:tcW w:w="3601" w:type="dxa"/>
            <w:tcBorders>
              <w:top w:val="single" w:sz="8" w:space="0" w:color="auto"/>
              <w:bottom w:val="single" w:sz="8" w:space="0" w:color="auto"/>
            </w:tcBorders>
          </w:tcPr>
          <w:p w14:paraId="6B4BED27" w14:textId="77777777" w:rsidR="00805C33" w:rsidRPr="008B1CF6" w:rsidRDefault="00805C33" w:rsidP="00805C33">
            <w:pPr>
              <w:spacing w:before="40" w:after="40" w:line="280" w:lineRule="atLeast"/>
              <w:rPr>
                <w:rFonts w:ascii="Public Sans" w:hAnsi="Public Sans" w:cs="Arial"/>
                <w:szCs w:val="22"/>
              </w:rPr>
            </w:pPr>
            <w:r w:rsidRPr="008B1CF6">
              <w:rPr>
                <w:rFonts w:ascii="Public Sans" w:hAnsi="Public Sans" w:cs="Arial"/>
                <w:szCs w:val="22"/>
              </w:rPr>
              <w:t>Executive Director and Principal Registrar, Superior Courts</w:t>
            </w:r>
          </w:p>
        </w:tc>
        <w:tc>
          <w:tcPr>
            <w:tcW w:w="6946" w:type="dxa"/>
            <w:tcBorders>
              <w:top w:val="single" w:sz="8" w:space="0" w:color="auto"/>
              <w:bottom w:val="single" w:sz="8" w:space="0" w:color="auto"/>
            </w:tcBorders>
          </w:tcPr>
          <w:p w14:paraId="5AD5D904"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Provide authoritative and expert advice on legal service delivery matters and recommendations which influence planning and decision making</w:t>
            </w:r>
            <w:r w:rsidRPr="008B1CF6">
              <w:rPr>
                <w:rFonts w:ascii="Public Sans" w:hAnsi="Public Sans" w:cs="Arial"/>
                <w:szCs w:val="22"/>
              </w:rPr>
              <w:br/>
            </w:r>
          </w:p>
          <w:p w14:paraId="58F3655D"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 xml:space="preserve">Provide information on key activities, issues and risks. </w:t>
            </w:r>
          </w:p>
        </w:tc>
      </w:tr>
      <w:tr w:rsidR="00C526D7" w:rsidRPr="008B1CF6" w14:paraId="77B313DB" w14:textId="77777777" w:rsidTr="00D52EE2">
        <w:trPr>
          <w:cantSplit/>
        </w:trPr>
        <w:tc>
          <w:tcPr>
            <w:tcW w:w="3601" w:type="dxa"/>
            <w:tcBorders>
              <w:top w:val="single" w:sz="8" w:space="0" w:color="auto"/>
              <w:bottom w:val="single" w:sz="8" w:space="0" w:color="auto"/>
            </w:tcBorders>
          </w:tcPr>
          <w:p w14:paraId="420AC2CC" w14:textId="1BE50575" w:rsidR="00C526D7" w:rsidRPr="008B1CF6" w:rsidRDefault="00C526D7" w:rsidP="00805C33">
            <w:pPr>
              <w:spacing w:before="40" w:after="40" w:line="280" w:lineRule="atLeast"/>
              <w:rPr>
                <w:rFonts w:ascii="Public Sans" w:hAnsi="Public Sans" w:cs="Arial"/>
                <w:szCs w:val="22"/>
              </w:rPr>
            </w:pPr>
            <w:r w:rsidRPr="008B1CF6">
              <w:rPr>
                <w:rFonts w:ascii="Public Sans" w:hAnsi="Public Sans" w:cs="Arial"/>
                <w:szCs w:val="22"/>
              </w:rPr>
              <w:t>Judicial Executive Committee, Superior Courts</w:t>
            </w:r>
          </w:p>
        </w:tc>
        <w:tc>
          <w:tcPr>
            <w:tcW w:w="6946" w:type="dxa"/>
            <w:tcBorders>
              <w:top w:val="single" w:sz="8" w:space="0" w:color="auto"/>
              <w:bottom w:val="single" w:sz="8" w:space="0" w:color="auto"/>
            </w:tcBorders>
          </w:tcPr>
          <w:p w14:paraId="2791C078" w14:textId="77777777" w:rsidR="00C526D7" w:rsidRPr="008B1CF6" w:rsidRDefault="00C526D7" w:rsidP="00C526D7">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Liaise regarding court services issues, business approach to the implementation of reforms, and confer regarding legal policies and procedural matters</w:t>
            </w:r>
          </w:p>
          <w:p w14:paraId="1D918746" w14:textId="77777777" w:rsidR="00C526D7" w:rsidRPr="008B1CF6" w:rsidRDefault="00C526D7" w:rsidP="00C526D7">
            <w:pPr>
              <w:spacing w:beforeLines="40" w:before="96" w:afterLines="40" w:after="96" w:line="280" w:lineRule="atLeast"/>
              <w:ind w:left="175"/>
              <w:contextualSpacing/>
              <w:rPr>
                <w:rFonts w:ascii="Public Sans" w:hAnsi="Public Sans" w:cs="Arial"/>
                <w:szCs w:val="22"/>
              </w:rPr>
            </w:pPr>
          </w:p>
          <w:p w14:paraId="31DFF47C" w14:textId="474AA6B1" w:rsidR="00C526D7" w:rsidRPr="008B1CF6" w:rsidRDefault="00C526D7" w:rsidP="00C526D7">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Provide information on key activities, issues and risks.</w:t>
            </w:r>
          </w:p>
        </w:tc>
      </w:tr>
      <w:tr w:rsidR="00805C33" w:rsidRPr="008B1CF6" w14:paraId="63AEEC19" w14:textId="77777777" w:rsidTr="00D52EE2">
        <w:trPr>
          <w:cantSplit/>
        </w:trPr>
        <w:tc>
          <w:tcPr>
            <w:tcW w:w="3601" w:type="dxa"/>
            <w:tcBorders>
              <w:top w:val="single" w:sz="8" w:space="0" w:color="auto"/>
              <w:bottom w:val="single" w:sz="8" w:space="0" w:color="auto"/>
            </w:tcBorders>
          </w:tcPr>
          <w:p w14:paraId="52E52C56" w14:textId="7D494779" w:rsidR="00805C33" w:rsidRPr="008B1CF6" w:rsidRDefault="00805C33" w:rsidP="00805C33">
            <w:pPr>
              <w:spacing w:before="40" w:after="40" w:line="280" w:lineRule="atLeast"/>
              <w:rPr>
                <w:rFonts w:ascii="Public Sans" w:hAnsi="Public Sans" w:cs="Arial"/>
                <w:szCs w:val="22"/>
              </w:rPr>
            </w:pPr>
            <w:r w:rsidRPr="008B1CF6">
              <w:rPr>
                <w:rFonts w:ascii="Public Sans" w:hAnsi="Public Sans" w:cs="Arial"/>
                <w:szCs w:val="22"/>
              </w:rPr>
              <w:t>Judiciary of the Superior Courts</w:t>
            </w:r>
            <w:r w:rsidR="00880553" w:rsidRPr="008B1CF6">
              <w:rPr>
                <w:rFonts w:ascii="Public Sans" w:hAnsi="Public Sans" w:cs="Arial"/>
                <w:szCs w:val="22"/>
              </w:rPr>
              <w:t xml:space="preserve"> (including the President of the Industrial Relations Commission)</w:t>
            </w:r>
          </w:p>
        </w:tc>
        <w:tc>
          <w:tcPr>
            <w:tcW w:w="6946" w:type="dxa"/>
            <w:tcBorders>
              <w:top w:val="single" w:sz="8" w:space="0" w:color="auto"/>
              <w:bottom w:val="single" w:sz="8" w:space="0" w:color="auto"/>
            </w:tcBorders>
          </w:tcPr>
          <w:p w14:paraId="3CE2CBBD"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 xml:space="preserve">Liaise regarding operational issues, including planning, resource management, legislative changes and delivery of legal services by registrars.  </w:t>
            </w:r>
          </w:p>
        </w:tc>
      </w:tr>
      <w:tr w:rsidR="00805C33" w:rsidRPr="008B1CF6" w14:paraId="6F7011C1" w14:textId="77777777" w:rsidTr="00D52EE2">
        <w:trPr>
          <w:cantSplit/>
        </w:trPr>
        <w:tc>
          <w:tcPr>
            <w:tcW w:w="3601" w:type="dxa"/>
            <w:tcBorders>
              <w:top w:val="single" w:sz="8" w:space="0" w:color="auto"/>
              <w:bottom w:val="single" w:sz="8" w:space="0" w:color="auto"/>
            </w:tcBorders>
          </w:tcPr>
          <w:p w14:paraId="48A45E23" w14:textId="6A49682F" w:rsidR="00805C33" w:rsidRPr="008B1CF6" w:rsidRDefault="000758AE" w:rsidP="00805C33">
            <w:pPr>
              <w:spacing w:before="40" w:after="40" w:line="280" w:lineRule="atLeast"/>
              <w:rPr>
                <w:rFonts w:ascii="Public Sans" w:hAnsi="Public Sans" w:cs="Arial"/>
                <w:szCs w:val="22"/>
              </w:rPr>
            </w:pPr>
            <w:r w:rsidRPr="008B1CF6">
              <w:rPr>
                <w:rFonts w:ascii="Public Sans" w:hAnsi="Public Sans" w:cs="Arial"/>
                <w:szCs w:val="22"/>
              </w:rPr>
              <w:t xml:space="preserve">CTSD </w:t>
            </w:r>
            <w:r w:rsidR="00805C33" w:rsidRPr="008B1CF6">
              <w:rPr>
                <w:rFonts w:ascii="Public Sans" w:hAnsi="Public Sans" w:cs="Arial"/>
                <w:szCs w:val="22"/>
              </w:rPr>
              <w:t>Division Executive</w:t>
            </w:r>
          </w:p>
        </w:tc>
        <w:tc>
          <w:tcPr>
            <w:tcW w:w="6946" w:type="dxa"/>
            <w:tcBorders>
              <w:top w:val="single" w:sz="8" w:space="0" w:color="auto"/>
              <w:bottom w:val="single" w:sz="8" w:space="0" w:color="auto"/>
            </w:tcBorders>
          </w:tcPr>
          <w:p w14:paraId="64BC437F"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Advise on service delivery matters and ensure that stakeholder satisfaction with services informs decisions at executive levels.</w:t>
            </w:r>
            <w:r w:rsidRPr="008B1CF6">
              <w:rPr>
                <w:rFonts w:ascii="Public Sans" w:hAnsi="Public Sans" w:cs="Arial"/>
                <w:szCs w:val="22"/>
              </w:rPr>
              <w:br/>
            </w:r>
          </w:p>
          <w:p w14:paraId="257656B9"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Ensure the effectiveness of service delivery planning, decision making and governance frameworks across the division</w:t>
            </w:r>
            <w:r w:rsidRPr="008B1CF6">
              <w:rPr>
                <w:rFonts w:ascii="Public Sans" w:hAnsi="Public Sans" w:cs="Arial"/>
                <w:szCs w:val="22"/>
              </w:rPr>
              <w:br/>
            </w:r>
          </w:p>
          <w:p w14:paraId="47E9CD26"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Develop productive and collaborative relationships, and engage key stakeholders in service design, delivery and assessment to continually improve service outcomes</w:t>
            </w:r>
          </w:p>
        </w:tc>
      </w:tr>
      <w:tr w:rsidR="00805C33" w:rsidRPr="008B1CF6" w14:paraId="02001FE0" w14:textId="77777777" w:rsidTr="00D52EE2">
        <w:trPr>
          <w:cantSplit/>
        </w:trPr>
        <w:tc>
          <w:tcPr>
            <w:tcW w:w="3601" w:type="dxa"/>
            <w:tcBorders>
              <w:top w:val="single" w:sz="8" w:space="0" w:color="auto"/>
              <w:bottom w:val="single" w:sz="8" w:space="0" w:color="auto"/>
            </w:tcBorders>
          </w:tcPr>
          <w:p w14:paraId="396608FB" w14:textId="77777777" w:rsidR="00805C33" w:rsidRPr="008B1CF6" w:rsidRDefault="00805C33" w:rsidP="00805C33">
            <w:pPr>
              <w:spacing w:before="40" w:after="40" w:line="280" w:lineRule="atLeast"/>
              <w:rPr>
                <w:rFonts w:ascii="Public Sans" w:hAnsi="Public Sans" w:cs="Arial"/>
                <w:szCs w:val="22"/>
              </w:rPr>
            </w:pPr>
            <w:r w:rsidRPr="008B1CF6">
              <w:rPr>
                <w:rFonts w:ascii="Public Sans" w:hAnsi="Public Sans" w:cs="Arial"/>
                <w:szCs w:val="22"/>
              </w:rPr>
              <w:t>Service Managers</w:t>
            </w:r>
          </w:p>
        </w:tc>
        <w:tc>
          <w:tcPr>
            <w:tcW w:w="6946" w:type="dxa"/>
            <w:tcBorders>
              <w:top w:val="single" w:sz="8" w:space="0" w:color="auto"/>
              <w:bottom w:val="single" w:sz="8" w:space="0" w:color="auto"/>
            </w:tcBorders>
          </w:tcPr>
          <w:p w14:paraId="1A73665E"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 xml:space="preserve">Maintain relationships with service managers to ensure service support levels are understood and expectations set in regard to activities of the Superior Courts. </w:t>
            </w:r>
            <w:r w:rsidRPr="008B1CF6">
              <w:rPr>
                <w:rFonts w:ascii="Public Sans" w:hAnsi="Public Sans" w:cs="Arial"/>
                <w:szCs w:val="22"/>
              </w:rPr>
              <w:br/>
            </w:r>
          </w:p>
          <w:p w14:paraId="582AEE2D"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 xml:space="preserve">Work with service managers to resolve issues and implement service improvement as required. </w:t>
            </w:r>
          </w:p>
        </w:tc>
      </w:tr>
      <w:tr w:rsidR="00805C33" w:rsidRPr="008B1CF6" w14:paraId="45CE3744" w14:textId="77777777" w:rsidTr="00D52EE2">
        <w:trPr>
          <w:cantSplit/>
        </w:trPr>
        <w:tc>
          <w:tcPr>
            <w:tcW w:w="3601" w:type="dxa"/>
            <w:tcBorders>
              <w:top w:val="single" w:sz="8" w:space="0" w:color="auto"/>
              <w:bottom w:val="single" w:sz="8" w:space="0" w:color="auto"/>
            </w:tcBorders>
          </w:tcPr>
          <w:p w14:paraId="59D37A96" w14:textId="77777777" w:rsidR="00805C33" w:rsidRPr="008B1CF6" w:rsidRDefault="00805C33" w:rsidP="00805C33">
            <w:pPr>
              <w:spacing w:beforeLines="40" w:before="96" w:afterLines="40" w:after="96" w:line="280" w:lineRule="atLeast"/>
              <w:rPr>
                <w:rFonts w:ascii="Public Sans" w:hAnsi="Public Sans" w:cs="Arial"/>
                <w:color w:val="000000"/>
                <w:szCs w:val="22"/>
              </w:rPr>
            </w:pPr>
            <w:r w:rsidRPr="008B1CF6">
              <w:rPr>
                <w:rFonts w:ascii="Public Sans" w:hAnsi="Public Sans" w:cs="Arial"/>
                <w:color w:val="000000"/>
                <w:szCs w:val="22"/>
              </w:rPr>
              <w:t>Court Services unit staff</w:t>
            </w:r>
          </w:p>
        </w:tc>
        <w:tc>
          <w:tcPr>
            <w:tcW w:w="6946" w:type="dxa"/>
            <w:tcBorders>
              <w:top w:val="single" w:sz="8" w:space="0" w:color="auto"/>
              <w:bottom w:val="single" w:sz="8" w:space="0" w:color="auto"/>
            </w:tcBorders>
          </w:tcPr>
          <w:p w14:paraId="2112BEC3"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Provide leadership, guidance and support to unit staff</w:t>
            </w:r>
            <w:r w:rsidRPr="008B1CF6">
              <w:rPr>
                <w:rFonts w:ascii="Public Sans" w:hAnsi="Public Sans" w:cs="Arial"/>
                <w:szCs w:val="22"/>
              </w:rPr>
              <w:br/>
            </w:r>
          </w:p>
          <w:p w14:paraId="672D0964"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Set performance requirements and manage team performance and development</w:t>
            </w:r>
          </w:p>
        </w:tc>
      </w:tr>
      <w:tr w:rsidR="00805C33" w:rsidRPr="008B1CF6" w14:paraId="75A7D779" w14:textId="77777777" w:rsidTr="00D52EE2">
        <w:trPr>
          <w:cantSplit/>
        </w:trPr>
        <w:tc>
          <w:tcPr>
            <w:tcW w:w="3601" w:type="dxa"/>
            <w:tcBorders>
              <w:top w:val="single" w:sz="8" w:space="0" w:color="auto"/>
              <w:bottom w:val="single" w:sz="8" w:space="0" w:color="auto"/>
            </w:tcBorders>
          </w:tcPr>
          <w:p w14:paraId="132B01CC" w14:textId="77777777" w:rsidR="00805C33" w:rsidRPr="008B1CF6" w:rsidRDefault="00805C33" w:rsidP="00805C33">
            <w:pPr>
              <w:pBdr>
                <w:right w:val="single" w:sz="4" w:space="4" w:color="auto"/>
              </w:pBdr>
              <w:spacing w:before="40"/>
              <w:rPr>
                <w:rFonts w:ascii="Public Sans" w:hAnsi="Public Sans" w:cs="Arial"/>
                <w:color w:val="000000"/>
                <w:szCs w:val="22"/>
              </w:rPr>
            </w:pPr>
            <w:r w:rsidRPr="008B1CF6">
              <w:rPr>
                <w:rFonts w:ascii="Public Sans" w:hAnsi="Public Sans" w:cs="Arial"/>
                <w:color w:val="000000"/>
                <w:szCs w:val="22"/>
              </w:rPr>
              <w:t>Other Staff within the Registry</w:t>
            </w:r>
          </w:p>
        </w:tc>
        <w:tc>
          <w:tcPr>
            <w:tcW w:w="6946" w:type="dxa"/>
            <w:tcBorders>
              <w:top w:val="single" w:sz="8" w:space="0" w:color="auto"/>
              <w:bottom w:val="single" w:sz="8" w:space="0" w:color="auto"/>
            </w:tcBorders>
          </w:tcPr>
          <w:p w14:paraId="73F0BDA2"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color w:val="000000"/>
                <w:szCs w:val="22"/>
                <w:lang w:val="en-GB"/>
              </w:rPr>
            </w:pPr>
            <w:r w:rsidRPr="008B1CF6">
              <w:rPr>
                <w:rFonts w:ascii="Public Sans" w:hAnsi="Public Sans" w:cs="Arial"/>
                <w:szCs w:val="22"/>
              </w:rPr>
              <w:t>Provide and receive information and advice relating to the project/s</w:t>
            </w:r>
          </w:p>
        </w:tc>
      </w:tr>
      <w:tr w:rsidR="00805C33" w:rsidRPr="008B1CF6" w14:paraId="0E0C6322" w14:textId="77777777" w:rsidTr="00D52EE2">
        <w:tc>
          <w:tcPr>
            <w:tcW w:w="3601" w:type="dxa"/>
            <w:tcBorders>
              <w:top w:val="single" w:sz="8" w:space="0" w:color="BCBEC0"/>
              <w:bottom w:val="single" w:sz="8" w:space="0" w:color="BCBEC0"/>
            </w:tcBorders>
            <w:shd w:val="clear" w:color="auto" w:fill="BCBEC0"/>
          </w:tcPr>
          <w:p w14:paraId="43024540" w14:textId="77777777" w:rsidR="00805C33" w:rsidRPr="008B1CF6" w:rsidRDefault="00805C33" w:rsidP="00805C33">
            <w:pPr>
              <w:spacing w:before="40" w:after="40" w:line="280" w:lineRule="atLeast"/>
              <w:rPr>
                <w:rFonts w:ascii="Public Sans" w:hAnsi="Public Sans" w:cs="Arial"/>
                <w:b/>
                <w:szCs w:val="22"/>
              </w:rPr>
            </w:pPr>
            <w:r w:rsidRPr="008B1CF6">
              <w:rPr>
                <w:rFonts w:ascii="Public Sans" w:hAnsi="Public Sans" w:cs="Arial"/>
                <w:b/>
                <w:szCs w:val="22"/>
              </w:rPr>
              <w:t>External</w:t>
            </w:r>
          </w:p>
        </w:tc>
        <w:tc>
          <w:tcPr>
            <w:tcW w:w="6946" w:type="dxa"/>
            <w:tcBorders>
              <w:top w:val="single" w:sz="8" w:space="0" w:color="BCBEC0"/>
              <w:bottom w:val="single" w:sz="8" w:space="0" w:color="BCBEC0"/>
            </w:tcBorders>
            <w:shd w:val="clear" w:color="auto" w:fill="BCBEC0"/>
          </w:tcPr>
          <w:p w14:paraId="492791AD" w14:textId="77777777" w:rsidR="00805C33" w:rsidRPr="008B1CF6" w:rsidRDefault="00805C33" w:rsidP="00805C33">
            <w:pPr>
              <w:spacing w:before="40" w:after="40" w:line="280" w:lineRule="atLeast"/>
              <w:rPr>
                <w:rFonts w:ascii="Public Sans" w:hAnsi="Public Sans" w:cs="Arial"/>
                <w:b/>
                <w:szCs w:val="22"/>
              </w:rPr>
            </w:pPr>
          </w:p>
        </w:tc>
      </w:tr>
      <w:tr w:rsidR="00805C33" w:rsidRPr="008B1CF6" w14:paraId="428F724C" w14:textId="77777777" w:rsidTr="00D52EE2">
        <w:tc>
          <w:tcPr>
            <w:tcW w:w="3601" w:type="dxa"/>
            <w:tcBorders>
              <w:top w:val="single" w:sz="8" w:space="0" w:color="BCBEC0"/>
            </w:tcBorders>
          </w:tcPr>
          <w:p w14:paraId="0C43B532" w14:textId="77777777" w:rsidR="00805C33" w:rsidRPr="008B1CF6" w:rsidRDefault="00805C33" w:rsidP="00805C33">
            <w:pPr>
              <w:spacing w:before="40"/>
              <w:rPr>
                <w:rFonts w:ascii="Public Sans" w:hAnsi="Public Sans" w:cs="Arial"/>
                <w:color w:val="000000"/>
                <w:szCs w:val="22"/>
              </w:rPr>
            </w:pPr>
            <w:r w:rsidRPr="008B1CF6">
              <w:rPr>
                <w:rFonts w:ascii="Public Sans" w:hAnsi="Public Sans" w:cs="Arial"/>
                <w:color w:val="000000"/>
                <w:szCs w:val="22"/>
              </w:rPr>
              <w:lastRenderedPageBreak/>
              <w:t>External legal services providers</w:t>
            </w:r>
          </w:p>
        </w:tc>
        <w:tc>
          <w:tcPr>
            <w:tcW w:w="6946" w:type="dxa"/>
            <w:tcBorders>
              <w:top w:val="single" w:sz="8" w:space="0" w:color="BCBEC0"/>
            </w:tcBorders>
          </w:tcPr>
          <w:p w14:paraId="1C8AE83A"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 xml:space="preserve">Manage and develop relationship to ensure service levels are understood and expectations set in regard to provision of services to the courts. </w:t>
            </w:r>
            <w:r w:rsidRPr="008B1CF6">
              <w:rPr>
                <w:rFonts w:ascii="Public Sans" w:hAnsi="Public Sans" w:cs="Arial"/>
                <w:szCs w:val="22"/>
              </w:rPr>
              <w:br/>
            </w:r>
          </w:p>
          <w:p w14:paraId="17FBC13B"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Monitor and report on provision of service to ensure compliance with contracts, SLAs, MOUs and other service quality indicators.</w:t>
            </w:r>
          </w:p>
          <w:p w14:paraId="3030A4D7" w14:textId="77777777" w:rsidR="00805C33" w:rsidRPr="008B1CF6" w:rsidRDefault="00805C33" w:rsidP="00805C33">
            <w:pPr>
              <w:spacing w:beforeLines="40" w:before="96" w:afterLines="40" w:after="96" w:line="280" w:lineRule="atLeast"/>
              <w:ind w:left="175"/>
              <w:contextualSpacing/>
              <w:rPr>
                <w:rFonts w:ascii="Public Sans" w:hAnsi="Public Sans" w:cs="Arial"/>
                <w:szCs w:val="22"/>
              </w:rPr>
            </w:pPr>
          </w:p>
          <w:p w14:paraId="55308C9E"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szCs w:val="22"/>
              </w:rPr>
            </w:pPr>
            <w:r w:rsidRPr="008B1CF6">
              <w:rPr>
                <w:rFonts w:ascii="Public Sans" w:hAnsi="Public Sans" w:cs="Arial"/>
                <w:szCs w:val="22"/>
              </w:rPr>
              <w:t xml:space="preserve">Resolve routine issues and implement service improvement as required. </w:t>
            </w:r>
          </w:p>
        </w:tc>
      </w:tr>
      <w:tr w:rsidR="00805C33" w:rsidRPr="008B1CF6" w14:paraId="66B3CC8C" w14:textId="77777777" w:rsidTr="00D52EE2">
        <w:tc>
          <w:tcPr>
            <w:tcW w:w="3601" w:type="dxa"/>
            <w:tcBorders>
              <w:top w:val="single" w:sz="8" w:space="0" w:color="BCBEC0"/>
            </w:tcBorders>
          </w:tcPr>
          <w:p w14:paraId="1420B2D7" w14:textId="77777777" w:rsidR="00805C33" w:rsidRPr="008B1CF6" w:rsidRDefault="00805C33" w:rsidP="00805C33">
            <w:pPr>
              <w:spacing w:before="40"/>
              <w:rPr>
                <w:rFonts w:ascii="Public Sans" w:hAnsi="Public Sans" w:cs="Arial"/>
                <w:color w:val="000000"/>
                <w:szCs w:val="22"/>
              </w:rPr>
            </w:pPr>
            <w:r w:rsidRPr="008B1CF6">
              <w:rPr>
                <w:rFonts w:ascii="Public Sans" w:hAnsi="Public Sans" w:cs="Arial"/>
                <w:color w:val="000000"/>
                <w:szCs w:val="22"/>
              </w:rPr>
              <w:t>Stakeholders, other agencies and community</w:t>
            </w:r>
          </w:p>
        </w:tc>
        <w:tc>
          <w:tcPr>
            <w:tcW w:w="6946" w:type="dxa"/>
            <w:tcBorders>
              <w:top w:val="single" w:sz="8" w:space="0" w:color="BCBEC0"/>
            </w:tcBorders>
          </w:tcPr>
          <w:p w14:paraId="4579A4CB" w14:textId="77777777" w:rsidR="00805C33" w:rsidRPr="008B1CF6" w:rsidRDefault="00805C33" w:rsidP="00805C33">
            <w:pPr>
              <w:numPr>
                <w:ilvl w:val="0"/>
                <w:numId w:val="33"/>
              </w:numPr>
              <w:spacing w:beforeLines="40" w:before="96" w:afterLines="40" w:after="96" w:line="280" w:lineRule="atLeast"/>
              <w:ind w:left="175" w:hanging="141"/>
              <w:contextualSpacing/>
              <w:rPr>
                <w:rFonts w:ascii="Public Sans" w:hAnsi="Public Sans" w:cs="Arial"/>
                <w:caps/>
                <w:color w:val="000000"/>
                <w:szCs w:val="22"/>
              </w:rPr>
            </w:pPr>
            <w:r w:rsidRPr="008B1CF6">
              <w:rPr>
                <w:rFonts w:ascii="Public Sans" w:hAnsi="Public Sans" w:cs="Arial"/>
                <w:szCs w:val="22"/>
              </w:rPr>
              <w:t>Complex and sensitive consultations, negotiations and partnership arrangements.</w:t>
            </w:r>
          </w:p>
        </w:tc>
      </w:tr>
    </w:tbl>
    <w:p w14:paraId="1ABAF7AB" w14:textId="77777777" w:rsidR="00805C33" w:rsidRPr="008B1CF6" w:rsidRDefault="00805C33" w:rsidP="00805C33">
      <w:pPr>
        <w:spacing w:line="400" w:lineRule="atLeast"/>
        <w:outlineLvl w:val="0"/>
        <w:rPr>
          <w:rFonts w:ascii="Public Sans" w:hAnsi="Public Sans" w:cs="Arial"/>
          <w:b/>
          <w:bCs/>
          <w:kern w:val="32"/>
          <w:sz w:val="24"/>
          <w:szCs w:val="24"/>
        </w:rPr>
      </w:pPr>
      <w:r w:rsidRPr="008B1CF6">
        <w:rPr>
          <w:rFonts w:ascii="Public Sans" w:hAnsi="Public Sans" w:cs="Arial"/>
          <w:b/>
          <w:bCs/>
          <w:kern w:val="32"/>
          <w:sz w:val="24"/>
          <w:szCs w:val="24"/>
        </w:rPr>
        <w:br/>
        <w:t>Role dimensions</w:t>
      </w:r>
    </w:p>
    <w:p w14:paraId="11BC28AD" w14:textId="77777777" w:rsidR="00805C33" w:rsidRPr="008B1CF6" w:rsidRDefault="00805C33" w:rsidP="00805C33">
      <w:pPr>
        <w:pStyle w:val="Heading2"/>
        <w:rPr>
          <w:rFonts w:ascii="Public Sans" w:hAnsi="Public Sans"/>
          <w:u w:val="single"/>
        </w:rPr>
      </w:pPr>
      <w:r w:rsidRPr="008B1CF6">
        <w:rPr>
          <w:rFonts w:ascii="Public Sans" w:hAnsi="Public Sans"/>
          <w:u w:val="single"/>
        </w:rPr>
        <w:t>Decision making</w:t>
      </w:r>
    </w:p>
    <w:p w14:paraId="7A71283F" w14:textId="4D89627B" w:rsidR="00805C33" w:rsidRPr="008B1CF6" w:rsidRDefault="00805C33" w:rsidP="00805C33">
      <w:pPr>
        <w:rPr>
          <w:rFonts w:ascii="Public Sans" w:hAnsi="Public Sans" w:cs="Arial"/>
          <w:szCs w:val="24"/>
        </w:rPr>
      </w:pPr>
      <w:r w:rsidRPr="008B1CF6">
        <w:rPr>
          <w:rFonts w:ascii="Public Sans" w:hAnsi="Public Sans" w:cs="Arial"/>
          <w:szCs w:val="24"/>
        </w:rPr>
        <w:t xml:space="preserve">The Director and Assistant Principal Registrar, Superior Courts is expected to represent the Superior Courts, operate autonomously and be fully accountable for the quality, timeliness and management of </w:t>
      </w:r>
      <w:r w:rsidR="002231CD" w:rsidRPr="008B1CF6">
        <w:rPr>
          <w:rFonts w:ascii="Public Sans" w:hAnsi="Public Sans" w:cs="Arial"/>
          <w:szCs w:val="24"/>
        </w:rPr>
        <w:t>court services provided by registrars</w:t>
      </w:r>
      <w:r w:rsidRPr="008B1CF6">
        <w:rPr>
          <w:rFonts w:ascii="Public Sans" w:hAnsi="Public Sans" w:cs="Arial"/>
          <w:szCs w:val="24"/>
        </w:rPr>
        <w:t xml:space="preserve">. </w:t>
      </w:r>
    </w:p>
    <w:p w14:paraId="6221E9F4" w14:textId="77777777" w:rsidR="00805C33" w:rsidRPr="008B1CF6" w:rsidRDefault="00805C33" w:rsidP="00805C33">
      <w:pPr>
        <w:rPr>
          <w:rFonts w:ascii="Public Sans" w:hAnsi="Public Sans" w:cs="Arial"/>
          <w:szCs w:val="24"/>
        </w:rPr>
      </w:pPr>
      <w:r w:rsidRPr="008B1CF6">
        <w:rPr>
          <w:rFonts w:ascii="Public Sans" w:hAnsi="Public Sans" w:cs="Arial"/>
          <w:szCs w:val="24"/>
        </w:rPr>
        <w:t>Exercise high level of judgement at all times and consults with the Executive Director and Principal Registrar, Superior Courts on controversial matters that may significantly alter outcomes, timeframes or cost.</w:t>
      </w:r>
    </w:p>
    <w:p w14:paraId="4A19133A" w14:textId="7D7712A4" w:rsidR="00805C33" w:rsidRPr="008B1CF6" w:rsidRDefault="00805C33" w:rsidP="00805C33">
      <w:pPr>
        <w:jc w:val="both"/>
        <w:rPr>
          <w:rFonts w:ascii="Public Sans" w:hAnsi="Public Sans" w:cs="Arial"/>
          <w:szCs w:val="24"/>
        </w:rPr>
      </w:pPr>
      <w:r w:rsidRPr="008B1CF6">
        <w:rPr>
          <w:rFonts w:ascii="Public Sans" w:hAnsi="Public Sans" w:cs="Arial"/>
          <w:szCs w:val="24"/>
        </w:rPr>
        <w:t>Another significant focus is the role’s legal or quasi–judicial duties. The Director and Assistant Principal Registrar, Superior Courts undertakes appropriate duties prescribed for registrars in the Supreme Court Rules</w:t>
      </w:r>
      <w:r w:rsidR="006F5DBB" w:rsidRPr="008B1CF6">
        <w:rPr>
          <w:rFonts w:ascii="Public Sans" w:hAnsi="Public Sans" w:cs="Arial"/>
          <w:szCs w:val="24"/>
        </w:rPr>
        <w:t xml:space="preserve"> and the Industrial Relations Commission Rules</w:t>
      </w:r>
      <w:r w:rsidRPr="008B1CF6">
        <w:rPr>
          <w:rFonts w:ascii="Public Sans" w:hAnsi="Public Sans" w:cs="Arial"/>
          <w:szCs w:val="24"/>
        </w:rPr>
        <w:t xml:space="preserve">, including when </w:t>
      </w:r>
      <w:r w:rsidR="00082A35" w:rsidRPr="008B1CF6">
        <w:rPr>
          <w:rFonts w:ascii="Public Sans" w:hAnsi="Public Sans" w:cs="Arial"/>
          <w:szCs w:val="24"/>
        </w:rPr>
        <w:t>necessary,</w:t>
      </w:r>
      <w:r w:rsidRPr="008B1CF6">
        <w:rPr>
          <w:rFonts w:ascii="Public Sans" w:hAnsi="Public Sans" w:cs="Arial"/>
          <w:szCs w:val="24"/>
        </w:rPr>
        <w:t xml:space="preserve"> presiding over the daily directions hearings usually conducted by the registrars of the Superior Courts.</w:t>
      </w:r>
    </w:p>
    <w:p w14:paraId="3F036CE4" w14:textId="4ABF432C" w:rsidR="00805C33" w:rsidRPr="008B1CF6" w:rsidRDefault="00805C33" w:rsidP="00805C33">
      <w:pPr>
        <w:spacing w:after="200"/>
        <w:jc w:val="both"/>
        <w:rPr>
          <w:rFonts w:ascii="Public Sans" w:hAnsi="Public Sans" w:cs="Arial"/>
        </w:rPr>
      </w:pPr>
      <w:r w:rsidRPr="008B1CF6">
        <w:rPr>
          <w:rFonts w:ascii="Public Sans" w:hAnsi="Public Sans" w:cs="Arial"/>
          <w:szCs w:val="24"/>
        </w:rPr>
        <w:t xml:space="preserve">The Director and Assistant Principal Registrar, Superior Courts also reviews the quality of the legal and quasi–judicial services provided to </w:t>
      </w:r>
      <w:r w:rsidR="006F5DBB" w:rsidRPr="008B1CF6">
        <w:rPr>
          <w:rFonts w:ascii="Public Sans" w:hAnsi="Public Sans" w:cs="Arial"/>
          <w:szCs w:val="24"/>
        </w:rPr>
        <w:t xml:space="preserve">both </w:t>
      </w:r>
      <w:r w:rsidRPr="008B1CF6">
        <w:rPr>
          <w:rFonts w:ascii="Public Sans" w:hAnsi="Public Sans" w:cs="Arial"/>
          <w:szCs w:val="24"/>
        </w:rPr>
        <w:t xml:space="preserve">the </w:t>
      </w:r>
      <w:r w:rsidR="006F5DBB" w:rsidRPr="008B1CF6">
        <w:rPr>
          <w:rFonts w:ascii="Public Sans" w:hAnsi="Public Sans" w:cs="Arial"/>
          <w:szCs w:val="24"/>
        </w:rPr>
        <w:t xml:space="preserve">Supreme </w:t>
      </w:r>
      <w:r w:rsidRPr="008B1CF6">
        <w:rPr>
          <w:rFonts w:ascii="Public Sans" w:hAnsi="Public Sans" w:cs="Arial"/>
          <w:szCs w:val="24"/>
        </w:rPr>
        <w:t xml:space="preserve">Court </w:t>
      </w:r>
      <w:r w:rsidR="006F5DBB" w:rsidRPr="008B1CF6">
        <w:rPr>
          <w:rFonts w:ascii="Public Sans" w:hAnsi="Public Sans" w:cs="Arial"/>
          <w:szCs w:val="24"/>
        </w:rPr>
        <w:t xml:space="preserve">and </w:t>
      </w:r>
      <w:r w:rsidR="006F5DBB" w:rsidRPr="008B1CF6">
        <w:rPr>
          <w:rFonts w:ascii="Public Sans" w:hAnsi="Public Sans" w:cs="Arial"/>
        </w:rPr>
        <w:t>the Industrial Relations Commission</w:t>
      </w:r>
      <w:r w:rsidR="006F5DBB" w:rsidRPr="008B1CF6">
        <w:rPr>
          <w:rFonts w:ascii="Public Sans" w:hAnsi="Public Sans" w:cs="Arial"/>
          <w:szCs w:val="24"/>
        </w:rPr>
        <w:t xml:space="preserve"> </w:t>
      </w:r>
      <w:r w:rsidRPr="008B1CF6">
        <w:rPr>
          <w:rFonts w:ascii="Public Sans" w:hAnsi="Public Sans" w:cs="Arial"/>
          <w:szCs w:val="24"/>
        </w:rPr>
        <w:t>by registrars.</w:t>
      </w:r>
      <w:r w:rsidRPr="008B1CF6">
        <w:rPr>
          <w:rFonts w:ascii="Public Sans" w:hAnsi="Public Sans" w:cs="Arial"/>
        </w:rPr>
        <w:t xml:space="preserve"> </w:t>
      </w:r>
    </w:p>
    <w:p w14:paraId="50A19837" w14:textId="443ECE13" w:rsidR="002F27EE" w:rsidRPr="008B1CF6" w:rsidRDefault="002F27EE" w:rsidP="00E50950">
      <w:pPr>
        <w:spacing w:after="200"/>
        <w:jc w:val="both"/>
        <w:rPr>
          <w:rFonts w:ascii="Public Sans" w:hAnsi="Public Sans" w:cs="Arial"/>
          <w:szCs w:val="22"/>
          <w:shd w:val="clear" w:color="auto" w:fill="FFFFFF"/>
        </w:rPr>
      </w:pPr>
      <w:r w:rsidRPr="008B1CF6">
        <w:rPr>
          <w:rFonts w:ascii="Public Sans" w:hAnsi="Public Sans" w:cs="Arial"/>
        </w:rPr>
        <w:t xml:space="preserve">In relation to the delivery of reform programs, the Director and Assistant Principal Registrar makes decisions with regard to the management </w:t>
      </w:r>
      <w:r w:rsidR="00E50950" w:rsidRPr="008B1CF6">
        <w:rPr>
          <w:rFonts w:ascii="Public Sans" w:hAnsi="Public Sans" w:cs="Arial"/>
        </w:rPr>
        <w:t xml:space="preserve">and implementation </w:t>
      </w:r>
      <w:r w:rsidRPr="008B1CF6">
        <w:rPr>
          <w:rFonts w:ascii="Public Sans" w:hAnsi="Public Sans" w:cs="Arial"/>
        </w:rPr>
        <w:t xml:space="preserve">of complex </w:t>
      </w:r>
      <w:r w:rsidR="00E50950" w:rsidRPr="008B1CF6">
        <w:rPr>
          <w:rFonts w:ascii="Public Sans" w:hAnsi="Public Sans" w:cs="Arial"/>
        </w:rPr>
        <w:t xml:space="preserve">court services projects and </w:t>
      </w:r>
      <w:r w:rsidRPr="008B1CF6">
        <w:rPr>
          <w:rFonts w:ascii="Public Sans" w:hAnsi="Public Sans" w:cs="Arial"/>
        </w:rPr>
        <w:t>ensure</w:t>
      </w:r>
      <w:r w:rsidR="00E50950" w:rsidRPr="008B1CF6">
        <w:rPr>
          <w:rFonts w:ascii="Public Sans" w:hAnsi="Public Sans" w:cs="Arial"/>
        </w:rPr>
        <w:t>s</w:t>
      </w:r>
      <w:r w:rsidRPr="008B1CF6">
        <w:rPr>
          <w:rFonts w:ascii="Public Sans" w:hAnsi="Public Sans" w:cs="Arial"/>
        </w:rPr>
        <w:t xml:space="preserve"> effective stakeholder engagement and project implementation by acting </w:t>
      </w:r>
      <w:r w:rsidRPr="008B1CF6">
        <w:rPr>
          <w:rFonts w:ascii="Public Sans" w:hAnsi="Public Sans" w:cs="Arial"/>
          <w:szCs w:val="22"/>
          <w:shd w:val="clear" w:color="auto" w:fill="FFFFFF"/>
        </w:rPr>
        <w:t>within Government sector core values, strategic plans and priorities, legislative and regulatory frameworks, delegations, and agency policy and procedural frameworks and guidelines.</w:t>
      </w:r>
    </w:p>
    <w:p w14:paraId="38747E7A" w14:textId="3545B11B" w:rsidR="00A15A4C" w:rsidRPr="008B1CF6" w:rsidRDefault="00A15A4C" w:rsidP="00E50950">
      <w:pPr>
        <w:spacing w:after="200"/>
        <w:jc w:val="both"/>
        <w:rPr>
          <w:rFonts w:ascii="Public Sans" w:hAnsi="Public Sans" w:cs="Arial"/>
        </w:rPr>
      </w:pPr>
      <w:r w:rsidRPr="008B1CF6">
        <w:rPr>
          <w:rFonts w:ascii="Public Sans" w:hAnsi="Public Sans" w:cs="Arial"/>
        </w:rPr>
        <w:t>From time to time and when necessary, act in the role of Executive Director and Principal Registrar, Superior Courts, and assume all the responsibility of that role including the decision making, key challenges and financial delegations of that role.</w:t>
      </w:r>
    </w:p>
    <w:p w14:paraId="0CF379F4" w14:textId="77777777" w:rsidR="00023744" w:rsidRPr="008B1CF6" w:rsidRDefault="00023744" w:rsidP="00023744">
      <w:pPr>
        <w:pStyle w:val="Heading2"/>
        <w:spacing w:after="0" w:line="240" w:lineRule="auto"/>
        <w:rPr>
          <w:rFonts w:ascii="Public Sans" w:hAnsi="Public Sans"/>
          <w:u w:val="single"/>
        </w:rPr>
      </w:pPr>
    </w:p>
    <w:p w14:paraId="017531FC" w14:textId="014D48EE" w:rsidR="00805C33" w:rsidRPr="008B1CF6" w:rsidRDefault="00805C33" w:rsidP="00805C33">
      <w:pPr>
        <w:pStyle w:val="Heading2"/>
        <w:rPr>
          <w:rFonts w:ascii="Public Sans" w:hAnsi="Public Sans"/>
          <w:u w:val="single"/>
        </w:rPr>
      </w:pPr>
      <w:r w:rsidRPr="008B1CF6">
        <w:rPr>
          <w:rFonts w:ascii="Public Sans" w:hAnsi="Public Sans"/>
          <w:u w:val="single"/>
        </w:rPr>
        <w:t>Reporting line</w:t>
      </w:r>
    </w:p>
    <w:p w14:paraId="080B4B25" w14:textId="77777777" w:rsidR="00805C33" w:rsidRPr="008B1CF6" w:rsidRDefault="00805C33" w:rsidP="00805C33">
      <w:pPr>
        <w:spacing w:after="200"/>
        <w:rPr>
          <w:rFonts w:ascii="Public Sans" w:hAnsi="Public Sans" w:cs="Arial"/>
          <w:szCs w:val="24"/>
        </w:rPr>
      </w:pPr>
      <w:r w:rsidRPr="008B1CF6">
        <w:rPr>
          <w:rFonts w:ascii="Public Sans" w:hAnsi="Public Sans" w:cs="Arial"/>
          <w:szCs w:val="24"/>
        </w:rPr>
        <w:t xml:space="preserve">The Director and Assistant Principal Registrar, Superior Courts reports to the Executive Director and Principal Registrar, Superior Courts. </w:t>
      </w:r>
    </w:p>
    <w:p w14:paraId="7CF8C34E" w14:textId="77777777" w:rsidR="00023744" w:rsidRPr="008B1CF6" w:rsidRDefault="00023744" w:rsidP="00023744">
      <w:pPr>
        <w:pStyle w:val="Heading2"/>
        <w:spacing w:after="0" w:line="240" w:lineRule="auto"/>
        <w:rPr>
          <w:rFonts w:ascii="Public Sans" w:hAnsi="Public Sans"/>
          <w:u w:val="single"/>
        </w:rPr>
      </w:pPr>
    </w:p>
    <w:p w14:paraId="344E7F91" w14:textId="739A2E8D" w:rsidR="00805C33" w:rsidRPr="008B1CF6" w:rsidRDefault="00805C33" w:rsidP="00805C33">
      <w:pPr>
        <w:pStyle w:val="Heading2"/>
        <w:rPr>
          <w:rFonts w:ascii="Public Sans" w:hAnsi="Public Sans"/>
          <w:u w:val="single"/>
        </w:rPr>
      </w:pPr>
      <w:r w:rsidRPr="008B1CF6">
        <w:rPr>
          <w:rFonts w:ascii="Public Sans" w:hAnsi="Public Sans"/>
          <w:u w:val="single"/>
        </w:rPr>
        <w:t>Direct reports</w:t>
      </w:r>
    </w:p>
    <w:p w14:paraId="4280BAB3" w14:textId="6D6C9545" w:rsidR="00805C33" w:rsidRPr="008B1CF6" w:rsidRDefault="00805C33" w:rsidP="00030D68">
      <w:pPr>
        <w:spacing w:after="200"/>
        <w:rPr>
          <w:rFonts w:ascii="Public Sans" w:hAnsi="Public Sans" w:cs="Arial"/>
          <w:bCs/>
          <w:kern w:val="32"/>
          <w:szCs w:val="22"/>
          <w:lang w:val="en-GB"/>
        </w:rPr>
      </w:pPr>
      <w:r w:rsidRPr="008B1CF6">
        <w:rPr>
          <w:rFonts w:ascii="Public Sans" w:hAnsi="Public Sans" w:cs="Arial"/>
          <w:bCs/>
          <w:kern w:val="32"/>
          <w:szCs w:val="22"/>
          <w:lang w:val="en-GB"/>
        </w:rPr>
        <w:t xml:space="preserve">The role has </w:t>
      </w:r>
      <w:r w:rsidR="006F5DBB" w:rsidRPr="008B1CF6">
        <w:rPr>
          <w:rFonts w:ascii="Public Sans" w:hAnsi="Public Sans" w:cs="Arial"/>
          <w:bCs/>
          <w:kern w:val="32"/>
          <w:szCs w:val="22"/>
          <w:lang w:val="en-GB"/>
        </w:rPr>
        <w:t>21</w:t>
      </w:r>
      <w:r w:rsidR="00082A35" w:rsidRPr="008B1CF6">
        <w:rPr>
          <w:rFonts w:ascii="Public Sans" w:hAnsi="Public Sans" w:cs="Arial"/>
          <w:bCs/>
          <w:kern w:val="32"/>
          <w:szCs w:val="22"/>
          <w:lang w:val="en-GB"/>
        </w:rPr>
        <w:t xml:space="preserve"> direct</w:t>
      </w:r>
      <w:r w:rsidRPr="008B1CF6">
        <w:rPr>
          <w:rFonts w:ascii="Public Sans" w:hAnsi="Public Sans" w:cs="Arial"/>
          <w:bCs/>
          <w:kern w:val="32"/>
          <w:szCs w:val="22"/>
          <w:lang w:val="en-GB"/>
        </w:rPr>
        <w:t xml:space="preserve"> reports</w:t>
      </w:r>
      <w:r w:rsidR="002F27EE" w:rsidRPr="008B1CF6">
        <w:rPr>
          <w:rFonts w:ascii="Public Sans" w:hAnsi="Public Sans" w:cs="Arial"/>
          <w:bCs/>
          <w:kern w:val="32"/>
          <w:szCs w:val="22"/>
          <w:lang w:val="en-GB"/>
        </w:rPr>
        <w:t>.</w:t>
      </w:r>
      <w:r w:rsidRPr="008B1CF6">
        <w:rPr>
          <w:rFonts w:ascii="Public Sans" w:hAnsi="Public Sans" w:cs="Arial"/>
          <w:bCs/>
          <w:kern w:val="32"/>
          <w:szCs w:val="22"/>
          <w:lang w:val="en-GB"/>
        </w:rPr>
        <w:t xml:space="preserve"> </w:t>
      </w:r>
    </w:p>
    <w:p w14:paraId="5F873F21" w14:textId="77777777" w:rsidR="00805C33" w:rsidRPr="008B1CF6" w:rsidRDefault="00805C33" w:rsidP="00030D68">
      <w:pPr>
        <w:pStyle w:val="Heading2"/>
        <w:rPr>
          <w:rFonts w:ascii="Public Sans" w:hAnsi="Public Sans"/>
          <w:u w:val="single"/>
        </w:rPr>
      </w:pPr>
      <w:r w:rsidRPr="008B1CF6">
        <w:rPr>
          <w:rFonts w:ascii="Public Sans" w:hAnsi="Public Sans"/>
          <w:u w:val="single"/>
        </w:rPr>
        <w:lastRenderedPageBreak/>
        <w:t>Budget/Expenditure</w:t>
      </w:r>
    </w:p>
    <w:p w14:paraId="628DABE7" w14:textId="1004FED9" w:rsidR="00805C33" w:rsidRPr="008B1CF6" w:rsidRDefault="00EE5DE4" w:rsidP="00030D68">
      <w:pPr>
        <w:spacing w:after="200"/>
        <w:rPr>
          <w:rFonts w:ascii="Public Sans" w:hAnsi="Public Sans" w:cs="Arial"/>
          <w:szCs w:val="22"/>
        </w:rPr>
      </w:pPr>
      <w:r w:rsidRPr="008B1CF6">
        <w:rPr>
          <w:rFonts w:ascii="Public Sans" w:hAnsi="Public Sans" w:cs="Arial"/>
          <w:szCs w:val="22"/>
        </w:rPr>
        <w:t xml:space="preserve">General Financial Limit, Level 4, </w:t>
      </w:r>
      <w:r w:rsidR="009C5DDA" w:rsidRPr="008B1CF6">
        <w:rPr>
          <w:rFonts w:ascii="Public Sans" w:hAnsi="Public Sans" w:cs="Arial"/>
          <w:szCs w:val="22"/>
        </w:rPr>
        <w:t xml:space="preserve">currently </w:t>
      </w:r>
      <w:r w:rsidRPr="008B1CF6">
        <w:rPr>
          <w:rFonts w:ascii="Public Sans" w:hAnsi="Public Sans" w:cs="Arial"/>
          <w:szCs w:val="22"/>
        </w:rPr>
        <w:t>$1</w:t>
      </w:r>
      <w:r w:rsidR="00CF102E" w:rsidRPr="008B1CF6">
        <w:rPr>
          <w:rFonts w:ascii="Public Sans" w:hAnsi="Public Sans" w:cs="Arial"/>
          <w:szCs w:val="22"/>
        </w:rPr>
        <w:t xml:space="preserve"> </w:t>
      </w:r>
      <w:r w:rsidRPr="008B1CF6">
        <w:rPr>
          <w:rFonts w:ascii="Public Sans" w:hAnsi="Public Sans" w:cs="Arial"/>
          <w:szCs w:val="22"/>
        </w:rPr>
        <w:t>m</w:t>
      </w:r>
      <w:r w:rsidR="00CF102E" w:rsidRPr="008B1CF6">
        <w:rPr>
          <w:rFonts w:ascii="Public Sans" w:hAnsi="Public Sans" w:cs="Arial"/>
          <w:szCs w:val="22"/>
        </w:rPr>
        <w:t xml:space="preserve">illion per </w:t>
      </w:r>
      <w:r w:rsidRPr="008B1CF6">
        <w:rPr>
          <w:rFonts w:ascii="Public Sans" w:hAnsi="Public Sans" w:cs="Arial"/>
          <w:szCs w:val="22"/>
        </w:rPr>
        <w:t>a</w:t>
      </w:r>
      <w:r w:rsidR="00CF102E" w:rsidRPr="008B1CF6">
        <w:rPr>
          <w:rFonts w:ascii="Public Sans" w:hAnsi="Public Sans" w:cs="Arial"/>
          <w:szCs w:val="22"/>
        </w:rPr>
        <w:t>nnum</w:t>
      </w:r>
      <w:r w:rsidRPr="008B1CF6">
        <w:rPr>
          <w:rFonts w:ascii="Public Sans" w:hAnsi="Public Sans" w:cs="Arial"/>
          <w:szCs w:val="22"/>
        </w:rPr>
        <w:t>.</w:t>
      </w:r>
    </w:p>
    <w:p w14:paraId="7008B1BB" w14:textId="77777777" w:rsidR="00A0734A" w:rsidRPr="008B1CF6" w:rsidRDefault="00A0734A" w:rsidP="00A0734A">
      <w:pPr>
        <w:pStyle w:val="Heading1"/>
        <w:rPr>
          <w:rFonts w:ascii="Public Sans" w:hAnsi="Public Sans"/>
          <w:sz w:val="24"/>
          <w:szCs w:val="24"/>
        </w:rPr>
      </w:pPr>
      <w:r w:rsidRPr="008B1CF6">
        <w:rPr>
          <w:rFonts w:ascii="Public Sans" w:hAnsi="Public Sans"/>
          <w:sz w:val="24"/>
          <w:szCs w:val="24"/>
        </w:rPr>
        <w:t>Key knowledge and experience</w:t>
      </w:r>
    </w:p>
    <w:p w14:paraId="0ECB74B6" w14:textId="77777777" w:rsidR="00F72A32" w:rsidRPr="008B1CF6" w:rsidRDefault="00F72A32" w:rsidP="00F72A32">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hAnsi="Public Sans" w:cstheme="minorHAnsi"/>
        </w:rPr>
        <w:t>Extensive knowledge of all relevant rules, legislation and practice and procedure in the NSW Court system.</w:t>
      </w:r>
    </w:p>
    <w:p w14:paraId="18973398" w14:textId="3D8B7F5A" w:rsidR="00030D68" w:rsidRPr="008B1CF6" w:rsidRDefault="00E708EE" w:rsidP="00030D68">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eastAsia="Arial" w:hAnsi="Public Sans" w:cs="Arial"/>
          <w:szCs w:val="22"/>
        </w:rPr>
        <w:t>Extensive k</w:t>
      </w:r>
      <w:r w:rsidR="00030D68" w:rsidRPr="008B1CF6">
        <w:rPr>
          <w:rFonts w:ascii="Public Sans" w:eastAsia="Arial" w:hAnsi="Public Sans" w:cs="Arial"/>
          <w:szCs w:val="22"/>
        </w:rPr>
        <w:t xml:space="preserve">nowledge of court practice and procedure, the New South Wales Courts system, Courts administration principles and case management. An understanding of the Australian judicial </w:t>
      </w:r>
      <w:r w:rsidR="00082A35" w:rsidRPr="008B1CF6">
        <w:rPr>
          <w:rFonts w:ascii="Public Sans" w:eastAsia="Arial" w:hAnsi="Public Sans" w:cs="Arial"/>
          <w:szCs w:val="22"/>
        </w:rPr>
        <w:t>system.</w:t>
      </w:r>
    </w:p>
    <w:p w14:paraId="7BA30DFB" w14:textId="69F76E83" w:rsidR="00030D68" w:rsidRPr="008B1CF6" w:rsidRDefault="00030D68" w:rsidP="00030D68">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eastAsia="Arial" w:hAnsi="Public Sans" w:cs="Arial"/>
          <w:szCs w:val="22"/>
        </w:rPr>
        <w:t xml:space="preserve">Awareness of the legislative, policy and regulatory framework affecting the management of a government organisation, including the </w:t>
      </w:r>
      <w:r w:rsidR="00EE5DE4" w:rsidRPr="008B1CF6">
        <w:rPr>
          <w:rFonts w:ascii="Public Sans" w:eastAsia="Arial" w:hAnsi="Public Sans" w:cs="Arial"/>
          <w:szCs w:val="22"/>
        </w:rPr>
        <w:t>Government Sector Employment Act 2013</w:t>
      </w:r>
      <w:r w:rsidRPr="008B1CF6">
        <w:rPr>
          <w:rFonts w:ascii="Public Sans" w:eastAsia="Arial" w:hAnsi="Public Sans" w:cs="Arial"/>
          <w:szCs w:val="22"/>
        </w:rPr>
        <w:t xml:space="preserve"> and the </w:t>
      </w:r>
      <w:r w:rsidR="00EE5DE4" w:rsidRPr="008B1CF6">
        <w:rPr>
          <w:rFonts w:ascii="Public Sans" w:eastAsia="Arial" w:hAnsi="Public Sans" w:cs="Arial"/>
          <w:szCs w:val="22"/>
        </w:rPr>
        <w:t xml:space="preserve">Government Sector Audit Act </w:t>
      </w:r>
      <w:r w:rsidR="00082A35" w:rsidRPr="008B1CF6">
        <w:rPr>
          <w:rFonts w:ascii="Public Sans" w:eastAsia="Arial" w:hAnsi="Public Sans" w:cs="Arial"/>
          <w:szCs w:val="22"/>
        </w:rPr>
        <w:t>1983.</w:t>
      </w:r>
    </w:p>
    <w:p w14:paraId="395C4621" w14:textId="77777777" w:rsidR="00030D68" w:rsidRPr="008B1CF6" w:rsidRDefault="00030D68" w:rsidP="00030D68">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eastAsia="Arial" w:hAnsi="Public Sans" w:cs="Arial"/>
          <w:szCs w:val="22"/>
        </w:rPr>
        <w:t>Knowledge of the specialised jurisdictional issues impacting on the Superior Courts’ business activities.</w:t>
      </w:r>
    </w:p>
    <w:p w14:paraId="45C8BFFF" w14:textId="77777777" w:rsidR="00F72A32" w:rsidRPr="008B1CF6" w:rsidRDefault="00F72A32" w:rsidP="00F72A32">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eastAsia="Arial" w:hAnsi="Public Sans" w:cs="Arial"/>
          <w:szCs w:val="22"/>
        </w:rPr>
        <w:t>Management experience.</w:t>
      </w:r>
    </w:p>
    <w:p w14:paraId="2FD4BFE6" w14:textId="53BD5F1B" w:rsidR="005150F8" w:rsidRPr="008B1CF6" w:rsidRDefault="005150F8" w:rsidP="00E708EE">
      <w:pPr>
        <w:numPr>
          <w:ilvl w:val="0"/>
          <w:numId w:val="1"/>
        </w:numPr>
        <w:tabs>
          <w:tab w:val="clear" w:pos="360"/>
        </w:tabs>
        <w:overflowPunct w:val="0"/>
        <w:autoSpaceDE w:val="0"/>
        <w:autoSpaceDN w:val="0"/>
        <w:adjustRightInd w:val="0"/>
        <w:spacing w:before="120" w:after="200" w:line="240" w:lineRule="auto"/>
        <w:ind w:left="567" w:hanging="425"/>
        <w:jc w:val="both"/>
        <w:textAlignment w:val="baseline"/>
        <w:rPr>
          <w:rFonts w:ascii="Public Sans" w:eastAsia="Arial" w:hAnsi="Public Sans" w:cs="Arial"/>
          <w:szCs w:val="22"/>
        </w:rPr>
      </w:pPr>
      <w:r w:rsidRPr="008B1CF6">
        <w:rPr>
          <w:rFonts w:ascii="Public Sans" w:eastAsia="Arial" w:hAnsi="Public Sans" w:cs="Arial"/>
          <w:szCs w:val="22"/>
        </w:rPr>
        <w:t>Experience in leading teams and advanced people management skills.</w:t>
      </w:r>
    </w:p>
    <w:p w14:paraId="744E7512" w14:textId="77777777" w:rsidR="0003748A" w:rsidRPr="008B1CF6" w:rsidRDefault="0003748A" w:rsidP="0003748A">
      <w:pPr>
        <w:pStyle w:val="Heading1"/>
        <w:rPr>
          <w:rFonts w:ascii="Public Sans" w:hAnsi="Public Sans"/>
          <w:sz w:val="24"/>
          <w:szCs w:val="24"/>
        </w:rPr>
      </w:pPr>
      <w:r w:rsidRPr="008B1CF6">
        <w:rPr>
          <w:rFonts w:ascii="Public Sans" w:hAnsi="Public Sans"/>
          <w:sz w:val="24"/>
          <w:szCs w:val="24"/>
        </w:rPr>
        <w:t>Essential requirements</w:t>
      </w:r>
    </w:p>
    <w:p w14:paraId="00EE1B52" w14:textId="449E795C" w:rsidR="00030D68" w:rsidRPr="008B1CF6" w:rsidRDefault="00030D68" w:rsidP="00030D68">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eastAsia="Arial" w:hAnsi="Public Sans" w:cs="Arial"/>
          <w:szCs w:val="22"/>
        </w:rPr>
        <w:t>Formal qualifications in law and admission as a legal practitioner</w:t>
      </w:r>
      <w:r w:rsidR="00911BF2" w:rsidRPr="008B1CF6">
        <w:rPr>
          <w:rFonts w:ascii="Public Sans" w:eastAsia="Arial" w:hAnsi="Public Sans" w:cs="Arial"/>
          <w:szCs w:val="22"/>
        </w:rPr>
        <w:t xml:space="preserve"> in Australia</w:t>
      </w:r>
      <w:r w:rsidRPr="008B1CF6">
        <w:rPr>
          <w:rFonts w:ascii="Public Sans" w:eastAsia="Arial" w:hAnsi="Public Sans" w:cs="Arial"/>
          <w:szCs w:val="22"/>
        </w:rPr>
        <w:t>.</w:t>
      </w:r>
    </w:p>
    <w:p w14:paraId="1202895B" w14:textId="14B11BB0" w:rsidR="00680A32" w:rsidRPr="008B1CF6" w:rsidRDefault="00680A32" w:rsidP="00680A32">
      <w:pPr>
        <w:numPr>
          <w:ilvl w:val="0"/>
          <w:numId w:val="1"/>
        </w:numPr>
        <w:tabs>
          <w:tab w:val="clear" w:pos="360"/>
        </w:tabs>
        <w:spacing w:before="120" w:after="0" w:line="240" w:lineRule="auto"/>
        <w:ind w:left="567" w:hanging="425"/>
        <w:rPr>
          <w:rFonts w:ascii="Public Sans" w:eastAsia="Arial" w:hAnsi="Public Sans" w:cs="Arial"/>
          <w:szCs w:val="22"/>
        </w:rPr>
      </w:pPr>
      <w:r w:rsidRPr="008B1CF6">
        <w:rPr>
          <w:rFonts w:ascii="Public Sans" w:hAnsi="Public Sans" w:cs="Arial"/>
          <w:lang w:eastAsia="en-AU"/>
        </w:rPr>
        <w:t>E</w:t>
      </w:r>
      <w:r w:rsidR="00911BF2" w:rsidRPr="008B1CF6">
        <w:rPr>
          <w:rFonts w:ascii="Public Sans" w:hAnsi="Public Sans" w:cs="Arial"/>
          <w:szCs w:val="22"/>
          <w:lang w:eastAsia="en-AU"/>
        </w:rPr>
        <w:t>xtensive post admission experience as a lawyer.</w:t>
      </w:r>
    </w:p>
    <w:p w14:paraId="6937D886" w14:textId="659B4FDA" w:rsidR="002C34F4" w:rsidRPr="008B1CF6" w:rsidRDefault="002C34F4" w:rsidP="002C34F4">
      <w:pPr>
        <w:numPr>
          <w:ilvl w:val="0"/>
          <w:numId w:val="1"/>
        </w:numPr>
        <w:tabs>
          <w:tab w:val="clear" w:pos="360"/>
        </w:tabs>
        <w:overflowPunct w:val="0"/>
        <w:autoSpaceDE w:val="0"/>
        <w:autoSpaceDN w:val="0"/>
        <w:adjustRightInd w:val="0"/>
        <w:spacing w:before="120" w:after="200" w:line="240" w:lineRule="auto"/>
        <w:ind w:left="567" w:hanging="425"/>
        <w:jc w:val="both"/>
        <w:textAlignment w:val="baseline"/>
        <w:rPr>
          <w:rFonts w:ascii="Public Sans" w:eastAsia="Arial" w:hAnsi="Public Sans" w:cs="Arial"/>
          <w:szCs w:val="22"/>
        </w:rPr>
      </w:pPr>
      <w:r w:rsidRPr="008B1CF6">
        <w:rPr>
          <w:rFonts w:ascii="Public Sans" w:eastAsia="Arial" w:hAnsi="Public Sans" w:cs="Arial"/>
          <w:szCs w:val="22"/>
        </w:rPr>
        <w:t xml:space="preserve">Expert ability to interpret legislation, ability to provide expert legal advice and </w:t>
      </w:r>
      <w:r w:rsidR="00082A35" w:rsidRPr="008B1CF6">
        <w:rPr>
          <w:rFonts w:ascii="Public Sans" w:eastAsia="Arial" w:hAnsi="Public Sans" w:cs="Arial"/>
          <w:szCs w:val="22"/>
        </w:rPr>
        <w:t>information.</w:t>
      </w:r>
    </w:p>
    <w:p w14:paraId="67FD0862" w14:textId="5457898E" w:rsidR="00F72A32" w:rsidRPr="008B1CF6" w:rsidRDefault="00F72A32" w:rsidP="00F72A32">
      <w:pPr>
        <w:pStyle w:val="ListParagraph"/>
        <w:numPr>
          <w:ilvl w:val="0"/>
          <w:numId w:val="1"/>
        </w:numPr>
        <w:tabs>
          <w:tab w:val="clear" w:pos="360"/>
        </w:tabs>
        <w:spacing w:before="120" w:after="0" w:line="240" w:lineRule="auto"/>
        <w:ind w:left="567" w:hanging="425"/>
        <w:contextualSpacing w:val="0"/>
        <w:rPr>
          <w:rFonts w:ascii="Public Sans" w:eastAsia="Arial" w:hAnsi="Public Sans" w:cs="Arial"/>
          <w:szCs w:val="22"/>
        </w:rPr>
      </w:pPr>
      <w:r w:rsidRPr="008B1CF6">
        <w:rPr>
          <w:rFonts w:ascii="Public Sans" w:eastAsia="Arial" w:hAnsi="Public Sans" w:cs="Arial"/>
          <w:szCs w:val="22"/>
        </w:rPr>
        <w:t xml:space="preserve">Advanced research and organisational </w:t>
      </w:r>
      <w:r w:rsidR="00082A35" w:rsidRPr="008B1CF6">
        <w:rPr>
          <w:rFonts w:ascii="Public Sans" w:eastAsia="Arial" w:hAnsi="Public Sans" w:cs="Arial"/>
          <w:szCs w:val="22"/>
        </w:rPr>
        <w:t>skills.</w:t>
      </w:r>
      <w:r w:rsidRPr="008B1CF6">
        <w:rPr>
          <w:rFonts w:ascii="Public Sans" w:eastAsia="Arial" w:hAnsi="Public Sans" w:cs="Arial"/>
          <w:szCs w:val="22"/>
        </w:rPr>
        <w:t xml:space="preserve"> </w:t>
      </w:r>
    </w:p>
    <w:p w14:paraId="71377E07" w14:textId="3D44F0FE" w:rsidR="00F72A32" w:rsidRPr="008B1CF6" w:rsidRDefault="00F72A32" w:rsidP="00F72A32">
      <w:pPr>
        <w:pStyle w:val="ListParagraph"/>
        <w:numPr>
          <w:ilvl w:val="0"/>
          <w:numId w:val="1"/>
        </w:numPr>
        <w:tabs>
          <w:tab w:val="clear" w:pos="360"/>
        </w:tabs>
        <w:spacing w:before="120" w:after="0" w:line="240" w:lineRule="auto"/>
        <w:ind w:left="567" w:hanging="425"/>
        <w:contextualSpacing w:val="0"/>
        <w:rPr>
          <w:rFonts w:ascii="Public Sans" w:eastAsia="Arial" w:hAnsi="Public Sans" w:cs="Arial"/>
          <w:szCs w:val="22"/>
        </w:rPr>
      </w:pPr>
      <w:r w:rsidRPr="008B1CF6">
        <w:rPr>
          <w:rFonts w:ascii="Public Sans" w:eastAsia="Arial" w:hAnsi="Public Sans" w:cs="Arial"/>
          <w:szCs w:val="22"/>
        </w:rPr>
        <w:t xml:space="preserve">Strong conceptual and analytical </w:t>
      </w:r>
      <w:r w:rsidR="00082A35" w:rsidRPr="008B1CF6">
        <w:rPr>
          <w:rFonts w:ascii="Public Sans" w:eastAsia="Arial" w:hAnsi="Public Sans" w:cs="Arial"/>
          <w:szCs w:val="22"/>
        </w:rPr>
        <w:t>skills.</w:t>
      </w:r>
    </w:p>
    <w:p w14:paraId="683D5CBB" w14:textId="18DE030A" w:rsidR="00F72A32" w:rsidRPr="008B1CF6" w:rsidRDefault="00F72A32" w:rsidP="00DF4DF7">
      <w:pPr>
        <w:pStyle w:val="ListParagraph"/>
        <w:numPr>
          <w:ilvl w:val="0"/>
          <w:numId w:val="1"/>
        </w:numPr>
        <w:tabs>
          <w:tab w:val="clear" w:pos="360"/>
        </w:tabs>
        <w:spacing w:before="120" w:after="0" w:line="240" w:lineRule="auto"/>
        <w:ind w:left="567" w:hanging="425"/>
        <w:contextualSpacing w:val="0"/>
        <w:rPr>
          <w:rFonts w:ascii="Public Sans" w:eastAsia="Arial" w:hAnsi="Public Sans" w:cs="Arial"/>
          <w:szCs w:val="22"/>
        </w:rPr>
      </w:pPr>
      <w:r w:rsidRPr="008B1CF6">
        <w:rPr>
          <w:rFonts w:ascii="Public Sans" w:eastAsia="Arial" w:hAnsi="Public Sans" w:cs="Arial"/>
          <w:szCs w:val="22"/>
        </w:rPr>
        <w:t xml:space="preserve">Sound interpersonal and negotiation </w:t>
      </w:r>
      <w:r w:rsidR="00082A35" w:rsidRPr="008B1CF6">
        <w:rPr>
          <w:rFonts w:ascii="Public Sans" w:eastAsia="Arial" w:hAnsi="Public Sans" w:cs="Arial"/>
          <w:szCs w:val="22"/>
        </w:rPr>
        <w:t>skills.</w:t>
      </w:r>
      <w:r w:rsidRPr="008B1CF6">
        <w:rPr>
          <w:rFonts w:ascii="Public Sans" w:eastAsia="Arial" w:hAnsi="Public Sans" w:cs="Arial"/>
          <w:szCs w:val="22"/>
        </w:rPr>
        <w:t xml:space="preserve"> </w:t>
      </w:r>
    </w:p>
    <w:p w14:paraId="5A1DD6FE" w14:textId="2CAF9D96" w:rsidR="00F72A32" w:rsidRPr="008B1CF6" w:rsidRDefault="00F72A32" w:rsidP="00DF4DF7">
      <w:pPr>
        <w:pStyle w:val="ListParagraph"/>
        <w:numPr>
          <w:ilvl w:val="0"/>
          <w:numId w:val="1"/>
        </w:numPr>
        <w:tabs>
          <w:tab w:val="clear" w:pos="360"/>
        </w:tabs>
        <w:spacing w:before="120" w:after="0" w:line="240" w:lineRule="auto"/>
        <w:ind w:left="567" w:hanging="425"/>
        <w:contextualSpacing w:val="0"/>
        <w:rPr>
          <w:rFonts w:ascii="Public Sans" w:eastAsia="Arial" w:hAnsi="Public Sans" w:cs="Arial"/>
          <w:szCs w:val="22"/>
        </w:rPr>
      </w:pPr>
      <w:r w:rsidRPr="008B1CF6">
        <w:rPr>
          <w:rFonts w:ascii="Public Sans" w:eastAsia="Arial" w:hAnsi="Public Sans" w:cs="Arial"/>
          <w:szCs w:val="22"/>
        </w:rPr>
        <w:t>Highly developed communication, liaison and negotiation skills</w:t>
      </w:r>
    </w:p>
    <w:p w14:paraId="7F973C9B" w14:textId="77777777" w:rsidR="00F72A32" w:rsidRPr="008B1CF6" w:rsidRDefault="00F72A32" w:rsidP="00F72A32">
      <w:pPr>
        <w:spacing w:before="120" w:after="0" w:line="240" w:lineRule="auto"/>
        <w:rPr>
          <w:rFonts w:ascii="Public Sans" w:eastAsia="Arial" w:hAnsi="Public Sans" w:cs="Arial"/>
          <w:szCs w:val="22"/>
        </w:rPr>
      </w:pPr>
    </w:p>
    <w:p w14:paraId="50287A92" w14:textId="77777777" w:rsidR="003F1151" w:rsidRPr="008B1CF6" w:rsidRDefault="003F1151" w:rsidP="003F1151">
      <w:pPr>
        <w:jc w:val="both"/>
        <w:rPr>
          <w:rFonts w:ascii="Public Sans" w:hAnsi="Public Sans" w:cs="Arial"/>
        </w:rPr>
      </w:pPr>
      <w:bookmarkStart w:id="1" w:name="EssentialReqs"/>
      <w:bookmarkEnd w:id="1"/>
      <w:r w:rsidRPr="008B1CF6">
        <w:rPr>
          <w:rFonts w:ascii="Public Sans" w:hAnsi="Public Sans" w:cs="Arial"/>
        </w:rPr>
        <w:t>Appointments are subject to reference checks. Some roles may also require the following checks/ clearances:</w:t>
      </w:r>
    </w:p>
    <w:p w14:paraId="3BF30191" w14:textId="77777777" w:rsidR="003F1151" w:rsidRPr="008B1CF6" w:rsidRDefault="003F1151" w:rsidP="003F1151">
      <w:pPr>
        <w:numPr>
          <w:ilvl w:val="0"/>
          <w:numId w:val="29"/>
        </w:numPr>
        <w:spacing w:before="120" w:line="240" w:lineRule="auto"/>
        <w:jc w:val="both"/>
        <w:rPr>
          <w:rFonts w:ascii="Public Sans" w:hAnsi="Public Sans" w:cs="Arial"/>
          <w:bCs/>
        </w:rPr>
      </w:pPr>
      <w:r w:rsidRPr="008B1CF6">
        <w:rPr>
          <w:rFonts w:ascii="Public Sans" w:hAnsi="Public Sans" w:cs="Arial"/>
          <w:bCs/>
        </w:rPr>
        <w:t>National Criminal History Record Check in accordance with the Disability Inclusion Act 2014</w:t>
      </w:r>
    </w:p>
    <w:p w14:paraId="748FD8EF" w14:textId="77777777" w:rsidR="003F1151" w:rsidRPr="008B1CF6" w:rsidRDefault="003F1151" w:rsidP="003F1151">
      <w:pPr>
        <w:numPr>
          <w:ilvl w:val="0"/>
          <w:numId w:val="29"/>
        </w:numPr>
        <w:spacing w:before="120" w:line="240" w:lineRule="auto"/>
        <w:jc w:val="both"/>
        <w:rPr>
          <w:rFonts w:ascii="Public Sans" w:hAnsi="Public Sans" w:cs="Arial"/>
          <w:bCs/>
        </w:rPr>
      </w:pPr>
      <w:r w:rsidRPr="008B1CF6">
        <w:rPr>
          <w:rFonts w:ascii="Public Sans" w:hAnsi="Public Sans" w:cs="Arial"/>
          <w:bCs/>
        </w:rPr>
        <w:t>Working with Children Check clearance in accordance with the Child Protection (Working with Children) Act 2012</w:t>
      </w:r>
    </w:p>
    <w:p w14:paraId="4D82510B" w14:textId="77777777" w:rsidR="004E4265" w:rsidRPr="008B1CF6" w:rsidRDefault="004E4265">
      <w:pPr>
        <w:spacing w:after="0" w:line="240" w:lineRule="auto"/>
        <w:rPr>
          <w:rFonts w:ascii="Public Sans" w:hAnsi="Public Sans" w:cs="Arial"/>
          <w:sz w:val="24"/>
          <w:szCs w:val="24"/>
        </w:rPr>
      </w:pPr>
    </w:p>
    <w:p w14:paraId="1B6BF588" w14:textId="77777777" w:rsidR="001D133A" w:rsidRPr="008B1CF6" w:rsidRDefault="001D133A" w:rsidP="001D133A">
      <w:pPr>
        <w:pStyle w:val="Heading1"/>
        <w:rPr>
          <w:rFonts w:ascii="Public Sans" w:hAnsi="Public Sans"/>
          <w:sz w:val="24"/>
          <w:szCs w:val="24"/>
        </w:rPr>
      </w:pPr>
      <w:r w:rsidRPr="008B1CF6">
        <w:rPr>
          <w:rFonts w:ascii="Public Sans" w:hAnsi="Public Sans"/>
          <w:sz w:val="24"/>
          <w:szCs w:val="24"/>
        </w:rPr>
        <w:t>Capabilities for the role</w:t>
      </w:r>
    </w:p>
    <w:p w14:paraId="17B7106A" w14:textId="77777777" w:rsidR="00197F8F" w:rsidRPr="008B1CF6" w:rsidRDefault="00513560" w:rsidP="00197F8F">
      <w:pPr>
        <w:rPr>
          <w:rFonts w:ascii="Public Sans" w:hAnsi="Public Sans" w:cs="Arial"/>
        </w:rPr>
      </w:pPr>
      <w:r w:rsidRPr="008B1CF6">
        <w:rPr>
          <w:rFonts w:ascii="Public Sans" w:hAnsi="Public Sans" w:cs="Arial"/>
        </w:rPr>
        <w:t>T</w:t>
      </w:r>
      <w:r w:rsidR="00197F8F" w:rsidRPr="008B1CF6">
        <w:rPr>
          <w:rFonts w:ascii="Public Sans" w:hAnsi="Public Sans" w:cs="Arial"/>
        </w:rPr>
        <w:t xml:space="preserve">he </w:t>
      </w:r>
      <w:hyperlink r:id="rId9" w:history="1">
        <w:r w:rsidR="00197F8F" w:rsidRPr="008B1CF6">
          <w:rPr>
            <w:rStyle w:val="Hyperlink"/>
            <w:rFonts w:ascii="Public Sans" w:hAnsi="Public Sans" w:cs="Arial"/>
          </w:rPr>
          <w:t>NSW public sector capability framework</w:t>
        </w:r>
      </w:hyperlink>
      <w:r w:rsidR="00197F8F" w:rsidRPr="008B1CF6">
        <w:rPr>
          <w:rFonts w:ascii="Public Sans" w:hAnsi="Public Sans"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64FD7A36" w14:textId="77777777" w:rsidR="00197F8F" w:rsidRPr="008B1CF6" w:rsidRDefault="00197F8F" w:rsidP="00197F8F">
      <w:pPr>
        <w:rPr>
          <w:rFonts w:ascii="Public Sans" w:hAnsi="Public Sans" w:cs="Arial"/>
        </w:rPr>
      </w:pPr>
      <w:r w:rsidRPr="008B1CF6">
        <w:rPr>
          <w:rFonts w:ascii="Public Sans" w:hAnsi="Public Sans" w:cs="Arial"/>
        </w:rPr>
        <w:t xml:space="preserve">The capabilities are separated into </w:t>
      </w:r>
      <w:r w:rsidRPr="008B1CF6">
        <w:rPr>
          <w:rFonts w:ascii="Public Sans" w:hAnsi="Public Sans" w:cs="Arial"/>
          <w:b/>
        </w:rPr>
        <w:t>focus capabilities</w:t>
      </w:r>
      <w:r w:rsidRPr="008B1CF6">
        <w:rPr>
          <w:rFonts w:ascii="Public Sans" w:hAnsi="Public Sans" w:cs="Arial"/>
        </w:rPr>
        <w:t xml:space="preserve"> and </w:t>
      </w:r>
      <w:r w:rsidRPr="008B1CF6">
        <w:rPr>
          <w:rFonts w:ascii="Public Sans" w:hAnsi="Public Sans" w:cs="Arial"/>
          <w:b/>
        </w:rPr>
        <w:t>complementary capabilities</w:t>
      </w:r>
      <w:r w:rsidRPr="008B1CF6">
        <w:rPr>
          <w:rFonts w:ascii="Public Sans" w:hAnsi="Public Sans" w:cs="Arial"/>
        </w:rPr>
        <w:t xml:space="preserve">. </w:t>
      </w:r>
    </w:p>
    <w:p w14:paraId="6B46634C" w14:textId="77777777" w:rsidR="00197F8F" w:rsidRPr="008B1CF6" w:rsidRDefault="00197F8F" w:rsidP="000308E0">
      <w:pPr>
        <w:pStyle w:val="Heading1"/>
        <w:spacing w:after="0" w:line="240" w:lineRule="auto"/>
        <w:rPr>
          <w:rFonts w:ascii="Public Sans" w:hAnsi="Public Sans"/>
        </w:rPr>
      </w:pPr>
    </w:p>
    <w:p w14:paraId="065C5A37" w14:textId="77777777" w:rsidR="00197F8F" w:rsidRPr="008B1CF6" w:rsidRDefault="00197F8F" w:rsidP="000308E0">
      <w:pPr>
        <w:pStyle w:val="Heading2"/>
        <w:spacing w:after="0" w:line="240" w:lineRule="auto"/>
        <w:rPr>
          <w:rFonts w:ascii="Public Sans" w:hAnsi="Public Sans"/>
        </w:rPr>
      </w:pPr>
      <w:r w:rsidRPr="008B1CF6">
        <w:rPr>
          <w:rFonts w:ascii="Public Sans" w:hAnsi="Public Sans"/>
        </w:rPr>
        <w:t>Focus capabilities</w:t>
      </w:r>
    </w:p>
    <w:p w14:paraId="1FFDB059" w14:textId="77777777" w:rsidR="00197F8F" w:rsidRPr="008B1CF6" w:rsidRDefault="00197F8F" w:rsidP="00197F8F">
      <w:pPr>
        <w:pStyle w:val="PlainText"/>
        <w:spacing w:before="62" w:line="276" w:lineRule="auto"/>
        <w:rPr>
          <w:rFonts w:ascii="Public Sans" w:eastAsiaTheme="minorEastAsia" w:hAnsi="Public Sans" w:cs="Arial"/>
          <w:sz w:val="22"/>
          <w:szCs w:val="22"/>
          <w:lang w:val="en-US"/>
        </w:rPr>
      </w:pPr>
      <w:r w:rsidRPr="008B1CF6">
        <w:rPr>
          <w:rFonts w:ascii="Public Sans" w:eastAsiaTheme="minorEastAsia" w:hAnsi="Public Sans" w:cs="Arial"/>
          <w:i/>
          <w:sz w:val="22"/>
          <w:szCs w:val="22"/>
          <w:lang w:val="en-US"/>
        </w:rPr>
        <w:t>Focus capabilities</w:t>
      </w:r>
      <w:r w:rsidRPr="008B1CF6">
        <w:rPr>
          <w:rFonts w:ascii="Public Sans" w:eastAsiaTheme="minorEastAsia" w:hAnsi="Public Sans" w:cs="Arial"/>
          <w:sz w:val="22"/>
          <w:szCs w:val="22"/>
          <w:lang w:val="en-US"/>
        </w:rPr>
        <w:t xml:space="preserve"> are the capabilities considered the most important for effective performance of the role. These capabilities will be assessed at recruitment. </w:t>
      </w:r>
    </w:p>
    <w:p w14:paraId="6262FAEE" w14:textId="77777777" w:rsidR="00030D68" w:rsidRPr="008B1CF6" w:rsidRDefault="00197F8F" w:rsidP="00030D68">
      <w:pPr>
        <w:spacing w:before="62" w:line="276" w:lineRule="auto"/>
        <w:rPr>
          <w:rFonts w:ascii="Public Sans" w:eastAsia="Times New Roman" w:hAnsi="Public Sans" w:cs="Arial"/>
          <w:szCs w:val="22"/>
          <w:lang w:val="en-US"/>
        </w:rPr>
      </w:pPr>
      <w:r w:rsidRPr="008B1CF6">
        <w:rPr>
          <w:rFonts w:ascii="Public Sans" w:eastAsiaTheme="minorEastAsia" w:hAnsi="Public Sans" w:cs="Arial"/>
          <w:szCs w:val="22"/>
          <w:lang w:val="en-US"/>
        </w:rPr>
        <w:t>The focus capabilities for this role are shown below with a brief explanation of what each capability covers and the indicators describing the types of beh</w:t>
      </w:r>
      <w:r w:rsidR="00D7553E" w:rsidRPr="008B1CF6">
        <w:rPr>
          <w:rFonts w:ascii="Public Sans" w:eastAsiaTheme="minorEastAsia" w:hAnsi="Public Sans" w:cs="Arial"/>
          <w:szCs w:val="22"/>
          <w:lang w:val="en-US"/>
        </w:rPr>
        <w:t>aviours expected at each level.</w:t>
      </w:r>
      <w:r w:rsidR="00FA2AC1" w:rsidRPr="008B1CF6">
        <w:rPr>
          <w:rFonts w:ascii="Public Sans" w:eastAsia="Times New Roman" w:hAnsi="Public Sans" w:cs="Arial"/>
          <w:szCs w:val="22"/>
          <w:lang w:val="en-US"/>
        </w:rPr>
        <w:t xml:space="preserve"> </w:t>
      </w:r>
    </w:p>
    <w:tbl>
      <w:tblPr>
        <w:tblStyle w:val="PSCPurple2"/>
        <w:tblpPr w:leftFromText="180" w:rightFromText="180" w:vertAnchor="text" w:tblpY="1"/>
        <w:tblOverlap w:val="never"/>
        <w:tblW w:w="10689"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693"/>
        <w:gridCol w:w="142"/>
        <w:gridCol w:w="67"/>
        <w:gridCol w:w="4412"/>
        <w:gridCol w:w="340"/>
        <w:gridCol w:w="1560"/>
      </w:tblGrid>
      <w:tr w:rsidR="00030D68" w:rsidRPr="008B1CF6" w14:paraId="0A89B7C4" w14:textId="77777777" w:rsidTr="00D52EE2">
        <w:trPr>
          <w:cnfStyle w:val="100000000000" w:firstRow="1" w:lastRow="0" w:firstColumn="0" w:lastColumn="0" w:oddVBand="0" w:evenVBand="0" w:oddHBand="0" w:evenHBand="0" w:firstRowFirstColumn="0" w:firstRowLastColumn="0" w:lastRowFirstColumn="0" w:lastRowLastColumn="0"/>
          <w:tblHeader/>
        </w:trPr>
        <w:tc>
          <w:tcPr>
            <w:tcW w:w="10689" w:type="dxa"/>
            <w:gridSpan w:val="7"/>
            <w:hideMark/>
          </w:tcPr>
          <w:p w14:paraId="0A4169EF" w14:textId="77777777" w:rsidR="00030D68" w:rsidRPr="008B1CF6" w:rsidRDefault="00030D68" w:rsidP="00030D68">
            <w:pPr>
              <w:keepNext/>
              <w:spacing w:after="0" w:line="240" w:lineRule="auto"/>
              <w:jc w:val="both"/>
              <w:rPr>
                <w:rFonts w:ascii="Public Sans" w:eastAsia="Calibri" w:hAnsi="Public Sans" w:cs="Arial"/>
                <w:b/>
                <w:color w:val="FFFFFF"/>
                <w:szCs w:val="22"/>
              </w:rPr>
            </w:pPr>
            <w:r w:rsidRPr="008B1CF6">
              <w:rPr>
                <w:rFonts w:ascii="Public Sans" w:eastAsia="Calibri" w:hAnsi="Public Sans" w:cs="Arial"/>
                <w:b/>
                <w:color w:val="FFFFFF"/>
                <w:szCs w:val="22"/>
              </w:rPr>
              <w:t>FOCUS CAPABILITIES</w:t>
            </w:r>
          </w:p>
        </w:tc>
      </w:tr>
      <w:tr w:rsidR="00030D68" w:rsidRPr="008B1CF6" w14:paraId="2878FE94" w14:textId="77777777" w:rsidTr="00D52EE2">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05B87AF"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Capability group/sets</w:t>
            </w:r>
          </w:p>
        </w:tc>
        <w:tc>
          <w:tcPr>
            <w:tcW w:w="2693" w:type="dxa"/>
            <w:tcBorders>
              <w:bottom w:val="single" w:sz="12" w:space="0" w:color="auto"/>
            </w:tcBorders>
            <w:shd w:val="clear" w:color="auto" w:fill="BCBEC0"/>
            <w:hideMark/>
          </w:tcPr>
          <w:p w14:paraId="3271283B"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Capability name</w:t>
            </w:r>
          </w:p>
        </w:tc>
        <w:tc>
          <w:tcPr>
            <w:tcW w:w="142" w:type="dxa"/>
            <w:tcBorders>
              <w:bottom w:val="single" w:sz="12" w:space="0" w:color="auto"/>
            </w:tcBorders>
            <w:shd w:val="clear" w:color="auto" w:fill="BCBEC0"/>
          </w:tcPr>
          <w:p w14:paraId="3A21293D" w14:textId="77777777" w:rsidR="00030D68" w:rsidRPr="008B1CF6" w:rsidRDefault="00030D68" w:rsidP="00030D68">
            <w:pPr>
              <w:keepNext/>
              <w:spacing w:after="0" w:line="240" w:lineRule="auto"/>
              <w:rPr>
                <w:rFonts w:ascii="Public Sans" w:eastAsia="Calibri" w:hAnsi="Public Sans" w:cs="Arial"/>
                <w:b/>
                <w:szCs w:val="22"/>
              </w:rPr>
            </w:pPr>
          </w:p>
        </w:tc>
        <w:tc>
          <w:tcPr>
            <w:tcW w:w="4819" w:type="dxa"/>
            <w:gridSpan w:val="3"/>
            <w:tcBorders>
              <w:bottom w:val="single" w:sz="12" w:space="0" w:color="auto"/>
            </w:tcBorders>
            <w:shd w:val="clear" w:color="auto" w:fill="BCBEC0"/>
            <w:hideMark/>
          </w:tcPr>
          <w:p w14:paraId="2537DFC7"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Behavioural indicators</w:t>
            </w:r>
          </w:p>
        </w:tc>
        <w:tc>
          <w:tcPr>
            <w:tcW w:w="1560" w:type="dxa"/>
            <w:tcBorders>
              <w:bottom w:val="single" w:sz="12" w:space="0" w:color="auto"/>
            </w:tcBorders>
            <w:shd w:val="clear" w:color="auto" w:fill="BCBEC0"/>
            <w:hideMark/>
          </w:tcPr>
          <w:p w14:paraId="6B90AE3B" w14:textId="77777777" w:rsidR="00030D68" w:rsidRPr="008B1CF6" w:rsidRDefault="00030D68" w:rsidP="00030D68">
            <w:pPr>
              <w:keepNext/>
              <w:spacing w:after="0" w:line="240" w:lineRule="auto"/>
              <w:jc w:val="both"/>
              <w:rPr>
                <w:rFonts w:ascii="Public Sans" w:eastAsia="Calibri" w:hAnsi="Public Sans" w:cs="Arial"/>
                <w:b/>
                <w:szCs w:val="22"/>
              </w:rPr>
            </w:pPr>
            <w:r w:rsidRPr="008B1CF6">
              <w:rPr>
                <w:rFonts w:ascii="Public Sans" w:eastAsia="Calibri" w:hAnsi="Public Sans" w:cs="Arial"/>
                <w:b/>
                <w:szCs w:val="22"/>
              </w:rPr>
              <w:t>Level</w:t>
            </w:r>
          </w:p>
        </w:tc>
      </w:tr>
      <w:tr w:rsidR="00030D68" w:rsidRPr="008B1CF6" w14:paraId="030E09A7" w14:textId="77777777" w:rsidTr="002C34F4">
        <w:tc>
          <w:tcPr>
            <w:tcW w:w="1475" w:type="dxa"/>
            <w:tcBorders>
              <w:top w:val="single" w:sz="8" w:space="0" w:color="BCBEC0"/>
              <w:left w:val="nil"/>
              <w:bottom w:val="single" w:sz="8" w:space="0" w:color="BCBEC0"/>
              <w:right w:val="nil"/>
            </w:tcBorders>
          </w:tcPr>
          <w:p w14:paraId="44CB3208"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noProof/>
                <w:szCs w:val="22"/>
                <w:lang w:eastAsia="en-AU"/>
              </w:rPr>
              <w:drawing>
                <wp:inline distT="0" distB="0" distL="0" distR="0" wp14:anchorId="69B767D7" wp14:editId="555B861B">
                  <wp:extent cx="848360" cy="848360"/>
                  <wp:effectExtent l="0" t="0" r="8890" b="8890"/>
                  <wp:docPr id="3" name="Picture 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tcPr>
          <w:p w14:paraId="424B3493"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Act with Integrity</w:t>
            </w:r>
          </w:p>
          <w:p w14:paraId="5A2CB2CF" w14:textId="77777777" w:rsidR="00030D68" w:rsidRPr="008B1CF6" w:rsidRDefault="00030D68" w:rsidP="00030D68">
            <w:pPr>
              <w:spacing w:after="0" w:line="240" w:lineRule="auto"/>
              <w:rPr>
                <w:rFonts w:ascii="Public Sans" w:eastAsia="Calibri" w:hAnsi="Public Sans" w:cs="Arial"/>
                <w:szCs w:val="22"/>
              </w:rPr>
            </w:pPr>
            <w:r w:rsidRPr="008B1CF6">
              <w:rPr>
                <w:rFonts w:ascii="Public Sans" w:eastAsia="Calibri" w:hAnsi="Public Sans" w:cs="Arial"/>
                <w:szCs w:val="22"/>
              </w:rPr>
              <w:t>Be ethical and professional, and uphold and promote the public sector values</w:t>
            </w:r>
          </w:p>
        </w:tc>
        <w:tc>
          <w:tcPr>
            <w:tcW w:w="4412" w:type="dxa"/>
            <w:tcBorders>
              <w:top w:val="single" w:sz="8" w:space="0" w:color="BCBEC0"/>
              <w:left w:val="nil"/>
              <w:bottom w:val="single" w:sz="8" w:space="0" w:color="BCBEC0"/>
              <w:right w:val="nil"/>
            </w:tcBorders>
          </w:tcPr>
          <w:p w14:paraId="7FD48D02"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Champion and model the highest standards of ethical and professional behaviour</w:t>
            </w:r>
          </w:p>
          <w:p w14:paraId="18326F74"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Drive a culture of integrity and professionalism within the organisation, and in dealings across government and with other jurisdictions and external organisations</w:t>
            </w:r>
          </w:p>
          <w:p w14:paraId="61EA7401"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Set, communicate and evaluate ethical practices, standards and systems and reinforce their use</w:t>
            </w:r>
          </w:p>
          <w:p w14:paraId="7A713369"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Create and promote a culture in which staff feel able to report apparent breaches of legislation, policies and guidelines and act promptly and visibly in response to such reports</w:t>
            </w:r>
          </w:p>
          <w:p w14:paraId="63CE364F"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Act promptly and visibly to prevent and respond to unethical behaviour</w:t>
            </w:r>
          </w:p>
        </w:tc>
        <w:tc>
          <w:tcPr>
            <w:tcW w:w="1900" w:type="dxa"/>
            <w:gridSpan w:val="2"/>
            <w:tcBorders>
              <w:top w:val="single" w:sz="8" w:space="0" w:color="BCBEC0"/>
              <w:left w:val="nil"/>
              <w:bottom w:val="single" w:sz="8" w:space="0" w:color="BCBEC0"/>
              <w:right w:val="nil"/>
            </w:tcBorders>
          </w:tcPr>
          <w:p w14:paraId="79065594"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Highly Advanced</w:t>
            </w:r>
          </w:p>
        </w:tc>
      </w:tr>
      <w:tr w:rsidR="00030D68" w:rsidRPr="008B1CF6" w14:paraId="0DD1C96C"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4C94FAF3"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7076AFAA" wp14:editId="143DFAAE">
                  <wp:extent cx="855980" cy="855980"/>
                  <wp:effectExtent l="0" t="0" r="1270" b="1270"/>
                  <wp:docPr id="32" name="Picture 32"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0A6C075D"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Communicate Effectively</w:t>
            </w:r>
          </w:p>
          <w:p w14:paraId="6D631F0C"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Communicate clearly, actively listen to others, and respond with understanding and respect</w:t>
            </w:r>
          </w:p>
        </w:tc>
        <w:tc>
          <w:tcPr>
            <w:tcW w:w="4412" w:type="dxa"/>
            <w:tcBorders>
              <w:top w:val="single" w:sz="8" w:space="0" w:color="BCBEC0"/>
              <w:left w:val="nil"/>
              <w:bottom w:val="single" w:sz="8" w:space="0" w:color="BCBEC0"/>
              <w:right w:val="nil"/>
            </w:tcBorders>
            <w:shd w:val="clear" w:color="auto" w:fill="FFFFFF"/>
          </w:tcPr>
          <w:p w14:paraId="0EAB0C45" w14:textId="1827440B"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 xml:space="preserve">Articulate complex concepts and put forward compelling arguments and rationales </w:t>
            </w:r>
            <w:r w:rsidR="00082A35" w:rsidRPr="008B1CF6">
              <w:rPr>
                <w:rFonts w:ascii="Public Sans" w:eastAsia="Calibri" w:hAnsi="Public Sans" w:cs="Arial"/>
                <w:szCs w:val="22"/>
              </w:rPr>
              <w:t>to all</w:t>
            </w:r>
            <w:r w:rsidRPr="008B1CF6">
              <w:rPr>
                <w:rFonts w:ascii="Public Sans" w:eastAsia="Calibri" w:hAnsi="Public Sans" w:cs="Arial"/>
                <w:szCs w:val="22"/>
              </w:rPr>
              <w:t xml:space="preserve"> levels and types of audiences</w:t>
            </w:r>
          </w:p>
          <w:p w14:paraId="53025EC0"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Speak in a highly articulate and influential manner</w:t>
            </w:r>
          </w:p>
          <w:p w14:paraId="1CF9C19F"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State the facts and explain their implications for the organisation and key stakeholders</w:t>
            </w:r>
          </w:p>
          <w:p w14:paraId="3485AA62"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Promote the organisation’s position with authority and credibility across government, other jurisdictions and external organisations</w:t>
            </w:r>
          </w:p>
          <w:p w14:paraId="06E63F3B"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Anticipate and address key areas of interest for the audience and adapt style under pressure</w:t>
            </w:r>
          </w:p>
        </w:tc>
        <w:tc>
          <w:tcPr>
            <w:tcW w:w="1900" w:type="dxa"/>
            <w:gridSpan w:val="2"/>
            <w:tcBorders>
              <w:top w:val="single" w:sz="8" w:space="0" w:color="BCBEC0"/>
              <w:left w:val="nil"/>
              <w:bottom w:val="single" w:sz="8" w:space="0" w:color="BCBEC0"/>
              <w:right w:val="nil"/>
            </w:tcBorders>
            <w:shd w:val="clear" w:color="auto" w:fill="FFFFFF"/>
          </w:tcPr>
          <w:p w14:paraId="4A1474CD"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Highly Advanced</w:t>
            </w:r>
          </w:p>
        </w:tc>
      </w:tr>
      <w:tr w:rsidR="00030D68" w:rsidRPr="008B1CF6" w14:paraId="56FD4252"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4428EBC2"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lastRenderedPageBreak/>
              <w:drawing>
                <wp:inline distT="0" distB="0" distL="0" distR="0" wp14:anchorId="28C6AAAC" wp14:editId="688E4A92">
                  <wp:extent cx="855980" cy="855980"/>
                  <wp:effectExtent l="0" t="0" r="1270" b="1270"/>
                  <wp:docPr id="37" name="Picture 37"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70E93BCE"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Commit to Customer Service</w:t>
            </w:r>
          </w:p>
          <w:p w14:paraId="3EA82EDE"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Provide customer-focused services in line with public sector and organisational objectives</w:t>
            </w:r>
          </w:p>
        </w:tc>
        <w:tc>
          <w:tcPr>
            <w:tcW w:w="4412" w:type="dxa"/>
            <w:tcBorders>
              <w:top w:val="single" w:sz="8" w:space="0" w:color="BCBEC0"/>
              <w:left w:val="nil"/>
              <w:bottom w:val="single" w:sz="8" w:space="0" w:color="BCBEC0"/>
              <w:right w:val="nil"/>
            </w:tcBorders>
            <w:shd w:val="clear" w:color="auto" w:fill="FFFFFF"/>
          </w:tcPr>
          <w:p w14:paraId="551ADD2E"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Create a culture that embraces high-quality customer service across the organisation, ensuring that management systems and processes drive service delivery outcomes</w:t>
            </w:r>
          </w:p>
          <w:p w14:paraId="02A40216"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Engage and negotiate with stakeholders on strategic issues related to government policy, standards of customer service and accessibility, and provide expert, influential advice</w:t>
            </w:r>
          </w:p>
          <w:p w14:paraId="68F0A755" w14:textId="356A1052"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 xml:space="preserve">Ensure that responsiveness to customer needs </w:t>
            </w:r>
            <w:r w:rsidR="00082A35" w:rsidRPr="008B1CF6">
              <w:rPr>
                <w:rFonts w:ascii="Public Sans" w:eastAsia="Calibri" w:hAnsi="Public Sans" w:cs="Arial"/>
                <w:szCs w:val="22"/>
              </w:rPr>
              <w:t>is central</w:t>
            </w:r>
            <w:r w:rsidRPr="008B1CF6">
              <w:rPr>
                <w:rFonts w:ascii="Public Sans" w:eastAsia="Calibri" w:hAnsi="Public Sans" w:cs="Arial"/>
                <w:szCs w:val="22"/>
              </w:rPr>
              <w:t xml:space="preserve"> to the organisation’s strategic planning processes</w:t>
            </w:r>
          </w:p>
          <w:p w14:paraId="73506190"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Set overall performance standards for service delivery across the organisation and monitor compliance</w:t>
            </w:r>
          </w:p>
        </w:tc>
        <w:tc>
          <w:tcPr>
            <w:tcW w:w="1900" w:type="dxa"/>
            <w:gridSpan w:val="2"/>
            <w:tcBorders>
              <w:top w:val="single" w:sz="8" w:space="0" w:color="BCBEC0"/>
              <w:left w:val="nil"/>
              <w:bottom w:val="single" w:sz="8" w:space="0" w:color="BCBEC0"/>
              <w:right w:val="nil"/>
            </w:tcBorders>
            <w:shd w:val="clear" w:color="auto" w:fill="FFFFFF"/>
          </w:tcPr>
          <w:p w14:paraId="6DBBC18D"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Highly Advanced</w:t>
            </w:r>
          </w:p>
        </w:tc>
      </w:tr>
      <w:tr w:rsidR="00030D68" w:rsidRPr="008B1CF6" w14:paraId="030BCBA3"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4CE6269E"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35CFA4D2" wp14:editId="79F2E7B3">
                  <wp:extent cx="855980" cy="855980"/>
                  <wp:effectExtent l="0" t="0" r="1270" b="1270"/>
                  <wp:docPr id="46" name="Picture 46"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34646BA4"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Influence and Negotiate</w:t>
            </w:r>
          </w:p>
          <w:p w14:paraId="0B82502B"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Gain consensus and commitment from others, and resolve issues and conflicts</w:t>
            </w:r>
          </w:p>
        </w:tc>
        <w:tc>
          <w:tcPr>
            <w:tcW w:w="4412" w:type="dxa"/>
            <w:tcBorders>
              <w:top w:val="single" w:sz="8" w:space="0" w:color="BCBEC0"/>
              <w:left w:val="nil"/>
              <w:bottom w:val="single" w:sz="8" w:space="0" w:color="BCBEC0"/>
              <w:right w:val="nil"/>
            </w:tcBorders>
            <w:shd w:val="clear" w:color="auto" w:fill="FFFFFF"/>
          </w:tcPr>
          <w:p w14:paraId="214A3014" w14:textId="4100E7B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 xml:space="preserve">Influence others with a fair and considered approach and present persuasive </w:t>
            </w:r>
            <w:r w:rsidR="00082A35" w:rsidRPr="008B1CF6">
              <w:rPr>
                <w:rFonts w:ascii="Public Sans" w:eastAsia="Calibri" w:hAnsi="Public Sans" w:cs="Arial"/>
                <w:szCs w:val="22"/>
              </w:rPr>
              <w:t>counterarguments</w:t>
            </w:r>
          </w:p>
          <w:p w14:paraId="36233A6B" w14:textId="6408F95A"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Work towards mutually beneficial ‘win-win’ outcomes</w:t>
            </w:r>
          </w:p>
          <w:p w14:paraId="0084FBD5" w14:textId="4E45D93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Show sensitivity and understanding in resolving acute and complex conflicts and differences</w:t>
            </w:r>
          </w:p>
          <w:p w14:paraId="08BDCF82" w14:textId="10AB8C56"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Identify key stakeholders and gain their support in advance</w:t>
            </w:r>
          </w:p>
          <w:p w14:paraId="74CE5962" w14:textId="6C4BFAF2"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Establish a clear negotiation position based on research, a firm grasp of key issues, likely arguments, points of difference and areas for compromise</w:t>
            </w:r>
          </w:p>
          <w:p w14:paraId="2B4801EC" w14:textId="26D4F582" w:rsidR="0034249E" w:rsidRPr="008B1CF6" w:rsidRDefault="00030D68" w:rsidP="0014638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 xml:space="preserve">Anticipate and minimise conflict </w:t>
            </w:r>
            <w:r w:rsidR="00082A35" w:rsidRPr="008B1CF6">
              <w:rPr>
                <w:rFonts w:ascii="Public Sans" w:eastAsia="Calibri" w:hAnsi="Public Sans" w:cs="Arial"/>
                <w:szCs w:val="22"/>
              </w:rPr>
              <w:t>within the organisation and</w:t>
            </w:r>
            <w:r w:rsidRPr="008B1CF6">
              <w:rPr>
                <w:rFonts w:ascii="Public Sans" w:eastAsia="Calibri" w:hAnsi="Public Sans" w:cs="Arial"/>
                <w:szCs w:val="22"/>
              </w:rPr>
              <w:t xml:space="preserve"> with external stakeholders</w:t>
            </w:r>
          </w:p>
        </w:tc>
        <w:tc>
          <w:tcPr>
            <w:tcW w:w="1900" w:type="dxa"/>
            <w:gridSpan w:val="2"/>
            <w:tcBorders>
              <w:top w:val="single" w:sz="8" w:space="0" w:color="BCBEC0"/>
              <w:left w:val="nil"/>
              <w:bottom w:val="single" w:sz="8" w:space="0" w:color="BCBEC0"/>
              <w:right w:val="nil"/>
            </w:tcBorders>
            <w:shd w:val="clear" w:color="auto" w:fill="FFFFFF"/>
          </w:tcPr>
          <w:p w14:paraId="047E799A" w14:textId="3DFE2605"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Advanced</w:t>
            </w:r>
          </w:p>
        </w:tc>
      </w:tr>
      <w:tr w:rsidR="00030D68" w:rsidRPr="008B1CF6" w14:paraId="5A574B00"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768FD2A6"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76AFAEF1" wp14:editId="4CD74990">
                  <wp:extent cx="855980" cy="855980"/>
                  <wp:effectExtent l="0" t="0" r="1270" b="1270"/>
                  <wp:docPr id="55" name="Picture 55"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0691317B"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Deliver Results</w:t>
            </w:r>
          </w:p>
          <w:p w14:paraId="0B23F9F4"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Achieve results through the efficient use of resources and a commitment to quality outcomes</w:t>
            </w:r>
          </w:p>
        </w:tc>
        <w:tc>
          <w:tcPr>
            <w:tcW w:w="4412" w:type="dxa"/>
            <w:tcBorders>
              <w:top w:val="single" w:sz="8" w:space="0" w:color="BCBEC0"/>
              <w:left w:val="nil"/>
              <w:bottom w:val="single" w:sz="8" w:space="0" w:color="BCBEC0"/>
              <w:right w:val="nil"/>
            </w:tcBorders>
            <w:shd w:val="clear" w:color="auto" w:fill="FFFFFF"/>
          </w:tcPr>
          <w:p w14:paraId="7E38B6F1"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Use own professional knowledge and the expertise of others to drive forward organisational and government objectives</w:t>
            </w:r>
          </w:p>
          <w:p w14:paraId="60CF2952"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 xml:space="preserve">Create a culture of achievement, fostering on-time </w:t>
            </w:r>
            <w:r w:rsidRPr="008B1CF6">
              <w:rPr>
                <w:rFonts w:ascii="Public Sans" w:eastAsia="Calibri" w:hAnsi="Public Sans" w:cs="Arial"/>
                <w:szCs w:val="22"/>
              </w:rPr>
              <w:lastRenderedPageBreak/>
              <w:t>and on- budget quality outcomes in the organisation</w:t>
            </w:r>
          </w:p>
          <w:p w14:paraId="06710CAE"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Identify, recognise and celebrate success</w:t>
            </w:r>
          </w:p>
          <w:p w14:paraId="3A00132D"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Establish systems to ensure all staff are able to identify direct connections between their efforts and organisational outcomes</w:t>
            </w:r>
          </w:p>
          <w:p w14:paraId="2FEC8662"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Identify and remove potential barriers or hurdles to achieving outcomes</w:t>
            </w:r>
          </w:p>
          <w:p w14:paraId="1FEC19B2"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Initiate and communicate high- level priorities for the organisation to achieve government outcomes</w:t>
            </w:r>
          </w:p>
        </w:tc>
        <w:tc>
          <w:tcPr>
            <w:tcW w:w="1900" w:type="dxa"/>
            <w:gridSpan w:val="2"/>
            <w:tcBorders>
              <w:top w:val="single" w:sz="8" w:space="0" w:color="BCBEC0"/>
              <w:left w:val="nil"/>
              <w:bottom w:val="single" w:sz="8" w:space="0" w:color="BCBEC0"/>
              <w:right w:val="nil"/>
            </w:tcBorders>
            <w:shd w:val="clear" w:color="auto" w:fill="FFFFFF"/>
          </w:tcPr>
          <w:p w14:paraId="3FA28F11"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lastRenderedPageBreak/>
              <w:t>Highly Advanced</w:t>
            </w:r>
          </w:p>
        </w:tc>
      </w:tr>
      <w:tr w:rsidR="00030D68" w:rsidRPr="008B1CF6" w14:paraId="5619FF38"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61E5384F"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7A2DF672" wp14:editId="50546B26">
                  <wp:extent cx="855980" cy="855980"/>
                  <wp:effectExtent l="0" t="0" r="1270" b="1270"/>
                  <wp:docPr id="65" name="Picture 65"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31AE0B76"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Think and Solve Problems</w:t>
            </w:r>
          </w:p>
          <w:p w14:paraId="7CFA82C2"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Think, analyse and consider the broader context to develop practical solutions</w:t>
            </w:r>
          </w:p>
        </w:tc>
        <w:tc>
          <w:tcPr>
            <w:tcW w:w="4412" w:type="dxa"/>
            <w:tcBorders>
              <w:top w:val="single" w:sz="8" w:space="0" w:color="BCBEC0"/>
              <w:left w:val="nil"/>
              <w:bottom w:val="single" w:sz="8" w:space="0" w:color="BCBEC0"/>
              <w:right w:val="nil"/>
            </w:tcBorders>
            <w:shd w:val="clear" w:color="auto" w:fill="FFFFFF"/>
          </w:tcPr>
          <w:p w14:paraId="317744F6"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Establish and promote a culture that encourages innovation and initiative and emphasises the value of continuous improvement</w:t>
            </w:r>
          </w:p>
          <w:p w14:paraId="479D6E34"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Engage in high-level critical analysis of a wide range of complex information and formulate effective responses to critical policy issues</w:t>
            </w:r>
          </w:p>
          <w:p w14:paraId="7D999CC0"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Identify and evaluate organisation- wide implications when considering proposed solutions to issues</w:t>
            </w:r>
          </w:p>
          <w:p w14:paraId="091F661E"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Apply lateral thinking and develop innovative solutions that have a long-lasting, organisation-wide impact</w:t>
            </w:r>
          </w:p>
          <w:p w14:paraId="149D43D3"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Ensure effective governance systems are in place to guarantee quality analysis, research and reform</w:t>
            </w:r>
          </w:p>
        </w:tc>
        <w:tc>
          <w:tcPr>
            <w:tcW w:w="1900" w:type="dxa"/>
            <w:gridSpan w:val="2"/>
            <w:tcBorders>
              <w:top w:val="single" w:sz="8" w:space="0" w:color="BCBEC0"/>
              <w:left w:val="nil"/>
              <w:bottom w:val="single" w:sz="8" w:space="0" w:color="BCBEC0"/>
              <w:right w:val="nil"/>
            </w:tcBorders>
            <w:shd w:val="clear" w:color="auto" w:fill="FFFFFF"/>
          </w:tcPr>
          <w:p w14:paraId="703FAE98"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Highly Advanced</w:t>
            </w:r>
          </w:p>
        </w:tc>
      </w:tr>
      <w:tr w:rsidR="00030D68" w:rsidRPr="008B1CF6" w14:paraId="35547C83"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3E60E6E1"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519F74D5" wp14:editId="5472DB7F">
                  <wp:extent cx="848360" cy="848360"/>
                  <wp:effectExtent l="0" t="0" r="8890" b="8890"/>
                  <wp:docPr id="74" name="Picture 74"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26860FEB"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Finance</w:t>
            </w:r>
          </w:p>
          <w:p w14:paraId="001D7D79"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szCs w:val="22"/>
              </w:rPr>
              <w:t>Understand and apply financial processes to achieve value for money and minimise financial risk</w:t>
            </w:r>
          </w:p>
        </w:tc>
        <w:tc>
          <w:tcPr>
            <w:tcW w:w="4412" w:type="dxa"/>
            <w:tcBorders>
              <w:top w:val="single" w:sz="8" w:space="0" w:color="BCBEC0"/>
              <w:left w:val="nil"/>
              <w:bottom w:val="single" w:sz="8" w:space="0" w:color="BCBEC0"/>
              <w:right w:val="nil"/>
            </w:tcBorders>
            <w:shd w:val="clear" w:color="auto" w:fill="FFFFFF"/>
          </w:tcPr>
          <w:p w14:paraId="066328EF"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Apply a thorough understanding of recurrent and capital financial terminology, policies and processes to planning, forecasting and budget preparation and management</w:t>
            </w:r>
          </w:p>
          <w:p w14:paraId="2525FF1E"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 xml:space="preserve">Identify and analyse trends, review data and evaluate business options to ensure </w:t>
            </w:r>
            <w:r w:rsidRPr="008B1CF6">
              <w:rPr>
                <w:rFonts w:ascii="Public Sans" w:eastAsia="Calibri" w:hAnsi="Public Sans" w:cs="Arial"/>
                <w:szCs w:val="22"/>
              </w:rPr>
              <w:lastRenderedPageBreak/>
              <w:t>business cases are financially sound</w:t>
            </w:r>
          </w:p>
          <w:p w14:paraId="3DB8DCC7"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Assess relative cost benefits of various purchasing options</w:t>
            </w:r>
          </w:p>
          <w:p w14:paraId="77FA9EC3"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Promote the role of sound financial management and its impact on organisational effectiveness</w:t>
            </w:r>
          </w:p>
          <w:p w14:paraId="64A9868A"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Obtain specialist financial advice when reviewing and evaluating finance systems and processes</w:t>
            </w:r>
          </w:p>
          <w:p w14:paraId="569B44F5"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Respond to financial and risk management audit outcomes, addressing areas of non- compliance in a timely manner</w:t>
            </w:r>
          </w:p>
        </w:tc>
        <w:tc>
          <w:tcPr>
            <w:tcW w:w="1900" w:type="dxa"/>
            <w:gridSpan w:val="2"/>
            <w:tcBorders>
              <w:top w:val="single" w:sz="8" w:space="0" w:color="BCBEC0"/>
              <w:left w:val="nil"/>
              <w:bottom w:val="single" w:sz="8" w:space="0" w:color="BCBEC0"/>
              <w:right w:val="nil"/>
            </w:tcBorders>
            <w:shd w:val="clear" w:color="auto" w:fill="FFFFFF"/>
          </w:tcPr>
          <w:p w14:paraId="1DB14944"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lastRenderedPageBreak/>
              <w:t>Advanced</w:t>
            </w:r>
          </w:p>
        </w:tc>
      </w:tr>
      <w:tr w:rsidR="00030D68" w:rsidRPr="008B1CF6" w14:paraId="7B8F0F31"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05397A05"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7D3E5A8D" wp14:editId="7C9AA9D9">
                  <wp:extent cx="848360" cy="848360"/>
                  <wp:effectExtent l="0" t="0" r="8890" b="8890"/>
                  <wp:docPr id="94" name="Picture 94"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090ACFC9"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Manage and Develop People</w:t>
            </w:r>
          </w:p>
          <w:p w14:paraId="7ED20DCF"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Engage and motivate staff, and develop capability and potential in others</w:t>
            </w:r>
          </w:p>
        </w:tc>
        <w:tc>
          <w:tcPr>
            <w:tcW w:w="4412" w:type="dxa"/>
            <w:tcBorders>
              <w:top w:val="single" w:sz="8" w:space="0" w:color="BCBEC0"/>
              <w:left w:val="nil"/>
              <w:bottom w:val="single" w:sz="8" w:space="0" w:color="BCBEC0"/>
              <w:right w:val="nil"/>
            </w:tcBorders>
            <w:shd w:val="clear" w:color="auto" w:fill="FFFFFF"/>
          </w:tcPr>
          <w:p w14:paraId="5B68BC74"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Refine roles and responsibilities over time to achieve better business outcomes</w:t>
            </w:r>
          </w:p>
          <w:p w14:paraId="5C128A87"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Recognise talent, develop team capability and undertake succession planning</w:t>
            </w:r>
          </w:p>
          <w:p w14:paraId="4E593575"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Coach and mentor staff and encourage professional development and continuous learning</w:t>
            </w:r>
          </w:p>
          <w:p w14:paraId="4F64B03B"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Prioritise addressing and resolving team and individual performance issues and ensure that this approach is cascaded throughout the organisation</w:t>
            </w:r>
          </w:p>
          <w:p w14:paraId="64C9A265"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Implement performance development frameworks to align workforce capability with the organisation’s current and future priorities and objectives</w:t>
            </w:r>
          </w:p>
        </w:tc>
        <w:tc>
          <w:tcPr>
            <w:tcW w:w="1900" w:type="dxa"/>
            <w:gridSpan w:val="2"/>
            <w:tcBorders>
              <w:top w:val="single" w:sz="8" w:space="0" w:color="BCBEC0"/>
              <w:left w:val="nil"/>
              <w:bottom w:val="single" w:sz="8" w:space="0" w:color="BCBEC0"/>
              <w:right w:val="nil"/>
            </w:tcBorders>
            <w:shd w:val="clear" w:color="auto" w:fill="FFFFFF"/>
          </w:tcPr>
          <w:p w14:paraId="2667EA2A"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Advanced</w:t>
            </w:r>
          </w:p>
        </w:tc>
      </w:tr>
      <w:tr w:rsidR="00030D68" w:rsidRPr="008B1CF6" w14:paraId="1E3FBF95" w14:textId="77777777" w:rsidTr="002C34F4">
        <w:tblPrEx>
          <w:shd w:val="clear" w:color="auto" w:fill="FFFFFF"/>
        </w:tblPrEx>
        <w:tc>
          <w:tcPr>
            <w:tcW w:w="1475" w:type="dxa"/>
            <w:tcBorders>
              <w:top w:val="single" w:sz="8" w:space="0" w:color="BCBEC0"/>
              <w:left w:val="nil"/>
              <w:bottom w:val="single" w:sz="8" w:space="0" w:color="BCBEC0"/>
              <w:right w:val="nil"/>
            </w:tcBorders>
            <w:shd w:val="clear" w:color="auto" w:fill="FFFFFF"/>
          </w:tcPr>
          <w:p w14:paraId="3A46C502"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0BF80C8A" wp14:editId="6800AA85">
                  <wp:extent cx="848360" cy="848360"/>
                  <wp:effectExtent l="0" t="0" r="8890" b="8890"/>
                  <wp:docPr id="99" name="Picture 99"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cPr>
          <w:p w14:paraId="4800C175"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Inspire Direction and Purpose</w:t>
            </w:r>
          </w:p>
          <w:p w14:paraId="600A7646"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Communicate goals, priorities and vision, and recognise achievements</w:t>
            </w:r>
          </w:p>
        </w:tc>
        <w:tc>
          <w:tcPr>
            <w:tcW w:w="4412" w:type="dxa"/>
            <w:tcBorders>
              <w:top w:val="single" w:sz="8" w:space="0" w:color="BCBEC0"/>
              <w:left w:val="nil"/>
              <w:bottom w:val="single" w:sz="8" w:space="0" w:color="BCBEC0"/>
              <w:right w:val="nil"/>
            </w:tcBorders>
            <w:shd w:val="clear" w:color="auto" w:fill="FFFFFF"/>
          </w:tcPr>
          <w:p w14:paraId="0C68544B"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Promote a sense of purpose and enable others to understand the links between government policy, organisational goals and public value</w:t>
            </w:r>
          </w:p>
          <w:p w14:paraId="19767433"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Build a shared sense of direction, clarify priorities and goals, and inspire others to achieve these</w:t>
            </w:r>
          </w:p>
          <w:p w14:paraId="70548FC8"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 xml:space="preserve">Work with others to translate strategic direction into operational goals and build a shared understanding of the </w:t>
            </w:r>
            <w:r w:rsidRPr="008B1CF6">
              <w:rPr>
                <w:rFonts w:ascii="Public Sans" w:eastAsia="Calibri" w:hAnsi="Public Sans" w:cs="Arial"/>
                <w:szCs w:val="22"/>
              </w:rPr>
              <w:lastRenderedPageBreak/>
              <w:t>link between these and core business outcomes</w:t>
            </w:r>
          </w:p>
          <w:p w14:paraId="771CE1E4"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Create opportunities for recognising and celebrating high performance at the individual and team level</w:t>
            </w:r>
          </w:p>
          <w:p w14:paraId="2A12D9F2" w14:textId="77777777" w:rsidR="00030D68" w:rsidRPr="008B1CF6" w:rsidRDefault="00030D68" w:rsidP="00030D68">
            <w:pPr>
              <w:numPr>
                <w:ilvl w:val="0"/>
                <w:numId w:val="32"/>
              </w:numPr>
              <w:spacing w:after="0" w:line="240" w:lineRule="auto"/>
              <w:ind w:left="360" w:right="702"/>
              <w:jc w:val="both"/>
              <w:rPr>
                <w:rFonts w:ascii="Public Sans" w:eastAsia="Calibri" w:hAnsi="Public Sans" w:cs="Arial"/>
                <w:szCs w:val="22"/>
              </w:rPr>
            </w:pPr>
            <w:r w:rsidRPr="008B1CF6">
              <w:rPr>
                <w:rFonts w:ascii="Public Sans" w:eastAsia="Calibri" w:hAnsi="Public Sans" w:cs="Arial"/>
                <w:szCs w:val="22"/>
              </w:rPr>
              <w:t>Instil confidence, and cultivate an attitude of openness and curiosity in tackling future challenges</w:t>
            </w:r>
          </w:p>
        </w:tc>
        <w:tc>
          <w:tcPr>
            <w:tcW w:w="1900" w:type="dxa"/>
            <w:gridSpan w:val="2"/>
            <w:tcBorders>
              <w:top w:val="single" w:sz="8" w:space="0" w:color="BCBEC0"/>
              <w:left w:val="nil"/>
              <w:bottom w:val="single" w:sz="8" w:space="0" w:color="BCBEC0"/>
              <w:right w:val="nil"/>
            </w:tcBorders>
            <w:shd w:val="clear" w:color="auto" w:fill="FFFFFF"/>
          </w:tcPr>
          <w:p w14:paraId="303FE4F8"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lastRenderedPageBreak/>
              <w:t>Advanced</w:t>
            </w:r>
          </w:p>
        </w:tc>
      </w:tr>
      <w:tr w:rsidR="00030D68" w:rsidRPr="008B1CF6" w14:paraId="15F9F942" w14:textId="77777777" w:rsidTr="002C34F4">
        <w:tc>
          <w:tcPr>
            <w:tcW w:w="1475" w:type="dxa"/>
            <w:tcBorders>
              <w:top w:val="single" w:sz="8" w:space="0" w:color="BCBEC0"/>
              <w:left w:val="nil"/>
              <w:bottom w:val="single" w:sz="8" w:space="0" w:color="BCBEC0"/>
              <w:right w:val="nil"/>
            </w:tcBorders>
          </w:tcPr>
          <w:p w14:paraId="0EA58788" w14:textId="77777777" w:rsidR="00030D68" w:rsidRPr="008B1CF6" w:rsidRDefault="00030D68" w:rsidP="00030D68">
            <w:pPr>
              <w:keepNext/>
              <w:spacing w:after="0" w:line="240" w:lineRule="auto"/>
              <w:rPr>
                <w:rFonts w:ascii="Public Sans" w:eastAsia="Calibri" w:hAnsi="Public Sans" w:cs="Arial"/>
                <w:noProof/>
                <w:szCs w:val="22"/>
                <w:lang w:eastAsia="en-AU"/>
              </w:rPr>
            </w:pPr>
            <w:r w:rsidRPr="008B1CF6">
              <w:rPr>
                <w:rFonts w:ascii="Public Sans" w:eastAsia="Calibri" w:hAnsi="Public Sans" w:cs="Arial"/>
                <w:noProof/>
                <w:szCs w:val="22"/>
                <w:lang w:eastAsia="en-AU"/>
              </w:rPr>
              <w:drawing>
                <wp:inline distT="0" distB="0" distL="0" distR="0" wp14:anchorId="635C5175" wp14:editId="06939D28">
                  <wp:extent cx="848360" cy="848360"/>
                  <wp:effectExtent l="0" t="0" r="8890" b="8890"/>
                  <wp:docPr id="110" name="Picture 110"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tcPr>
          <w:p w14:paraId="7F4D1C0F" w14:textId="77777777" w:rsidR="00030D68" w:rsidRPr="008B1CF6" w:rsidRDefault="00030D68" w:rsidP="00030D68">
            <w:pPr>
              <w:keepNext/>
              <w:spacing w:after="0" w:line="240" w:lineRule="auto"/>
              <w:rPr>
                <w:rFonts w:ascii="Public Sans" w:eastAsia="Calibri" w:hAnsi="Public Sans" w:cs="Arial"/>
                <w:b/>
                <w:szCs w:val="22"/>
              </w:rPr>
            </w:pPr>
            <w:r w:rsidRPr="008B1CF6">
              <w:rPr>
                <w:rFonts w:ascii="Public Sans" w:eastAsia="Calibri" w:hAnsi="Public Sans" w:cs="Arial"/>
                <w:b/>
                <w:szCs w:val="22"/>
              </w:rPr>
              <w:t>Manage Reform and Change</w:t>
            </w:r>
          </w:p>
          <w:p w14:paraId="4C3A595E"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Support, promote and champion change, and assist others to engage with change</w:t>
            </w:r>
          </w:p>
        </w:tc>
        <w:tc>
          <w:tcPr>
            <w:tcW w:w="4412" w:type="dxa"/>
            <w:tcBorders>
              <w:top w:val="single" w:sz="8" w:space="0" w:color="BCBEC0"/>
              <w:left w:val="nil"/>
              <w:bottom w:val="single" w:sz="8" w:space="0" w:color="BCBEC0"/>
              <w:right w:val="nil"/>
            </w:tcBorders>
          </w:tcPr>
          <w:p w14:paraId="758356F8" w14:textId="29081A31"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Drive a continuous improvement agenda, define high-level objectives and translate these into practical implementation strategies</w:t>
            </w:r>
          </w:p>
          <w:p w14:paraId="4AAC508B" w14:textId="36E1A2F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Build staff support for and commitment to announced change, and plan and prepare for long-term organisational change, with a focus on the wider political, social and environmental context</w:t>
            </w:r>
          </w:p>
          <w:p w14:paraId="4F9AC66D"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Create an organisational culture that actively seeks opportunities to improve</w:t>
            </w:r>
          </w:p>
          <w:p w14:paraId="7FBB2CF1" w14:textId="77777777" w:rsidR="00030D68" w:rsidRPr="008B1CF6" w:rsidRDefault="00030D68" w:rsidP="00030D68">
            <w:pPr>
              <w:numPr>
                <w:ilvl w:val="0"/>
                <w:numId w:val="32"/>
              </w:numPr>
              <w:spacing w:after="0" w:line="240" w:lineRule="auto"/>
              <w:ind w:left="360" w:right="702"/>
              <w:rPr>
                <w:rFonts w:ascii="Public Sans" w:eastAsia="Calibri" w:hAnsi="Public Sans" w:cs="Arial"/>
                <w:szCs w:val="22"/>
              </w:rPr>
            </w:pPr>
            <w:r w:rsidRPr="008B1CF6">
              <w:rPr>
                <w:rFonts w:ascii="Public Sans" w:eastAsia="Calibri" w:hAnsi="Public Sans" w:cs="Arial"/>
                <w:szCs w:val="22"/>
              </w:rPr>
              <w:t>Anticipate, plan for and address cultural barriers to change at the organisational level</w:t>
            </w:r>
          </w:p>
        </w:tc>
        <w:tc>
          <w:tcPr>
            <w:tcW w:w="1900" w:type="dxa"/>
            <w:gridSpan w:val="2"/>
            <w:tcBorders>
              <w:top w:val="single" w:sz="8" w:space="0" w:color="BCBEC0"/>
              <w:left w:val="nil"/>
              <w:bottom w:val="single" w:sz="8" w:space="0" w:color="BCBEC0"/>
              <w:right w:val="nil"/>
            </w:tcBorders>
          </w:tcPr>
          <w:p w14:paraId="4AB82897" w14:textId="77777777" w:rsidR="00030D68" w:rsidRPr="008B1CF6" w:rsidRDefault="00030D68" w:rsidP="00030D68">
            <w:pPr>
              <w:keepNext/>
              <w:spacing w:after="0" w:line="240" w:lineRule="auto"/>
              <w:rPr>
                <w:rFonts w:ascii="Public Sans" w:eastAsia="Calibri" w:hAnsi="Public Sans" w:cs="Arial"/>
                <w:szCs w:val="22"/>
              </w:rPr>
            </w:pPr>
            <w:r w:rsidRPr="008B1CF6">
              <w:rPr>
                <w:rFonts w:ascii="Public Sans" w:eastAsia="Calibri" w:hAnsi="Public Sans" w:cs="Arial"/>
                <w:szCs w:val="22"/>
              </w:rPr>
              <w:t>Highly Advanced</w:t>
            </w:r>
          </w:p>
        </w:tc>
      </w:tr>
    </w:tbl>
    <w:p w14:paraId="478B5BD9" w14:textId="77777777" w:rsidR="00F72A32" w:rsidRPr="008B1CF6" w:rsidRDefault="00F72A32" w:rsidP="00F72A32">
      <w:pPr>
        <w:spacing w:before="120" w:after="0" w:line="240" w:lineRule="auto"/>
        <w:rPr>
          <w:rFonts w:ascii="Public Sans" w:hAnsi="Public Sans" w:cstheme="majorHAnsi"/>
          <w:szCs w:val="22"/>
        </w:rPr>
      </w:pPr>
    </w:p>
    <w:p w14:paraId="5C32DF64" w14:textId="17698E78" w:rsidR="00F72A32" w:rsidRPr="008B1CF6" w:rsidRDefault="00F72A32" w:rsidP="00F72A32">
      <w:pPr>
        <w:spacing w:before="120" w:after="0" w:line="240" w:lineRule="auto"/>
        <w:rPr>
          <w:rFonts w:ascii="Public Sans" w:hAnsi="Public Sans"/>
          <w:szCs w:val="22"/>
        </w:rPr>
      </w:pPr>
      <w:r w:rsidRPr="008B1CF6">
        <w:rPr>
          <w:rFonts w:ascii="Public Sans" w:hAnsi="Public Sans" w:cstheme="majorHAnsi"/>
          <w:szCs w:val="22"/>
        </w:rPr>
        <w:t>This role also utilises the Legal Professionals Capability Set. The capability set is available at</w:t>
      </w:r>
      <w:r w:rsidRPr="008B1CF6">
        <w:rPr>
          <w:rFonts w:ascii="Public Sans" w:hAnsi="Public Sans"/>
          <w:szCs w:val="22"/>
        </w:rPr>
        <w:t xml:space="preserve"> </w:t>
      </w:r>
      <w:hyperlink r:id="rId15" w:history="1">
        <w:r w:rsidRPr="008B1CF6">
          <w:rPr>
            <w:rStyle w:val="Hyperlink"/>
            <w:rFonts w:ascii="Public Sans" w:hAnsi="Public Sans"/>
            <w:szCs w:val="22"/>
          </w:rPr>
          <w:t>www.psc.nsw.gov.au/workforce-management/capability-framework/occupation-specific-capability-sets/legal-capability-set</w:t>
        </w:r>
      </w:hyperlink>
    </w:p>
    <w:p w14:paraId="26B0D5A6" w14:textId="77777777" w:rsidR="00F72A32" w:rsidRPr="008B1CF6" w:rsidRDefault="00F72A32" w:rsidP="00F72A32">
      <w:pPr>
        <w:spacing w:after="0" w:line="240" w:lineRule="auto"/>
        <w:rPr>
          <w:rFonts w:ascii="Public Sans" w:hAnsi="Public Sans" w:cstheme="minorHAnsi"/>
          <w:szCs w:val="22"/>
        </w:rPr>
      </w:pPr>
    </w:p>
    <w:p w14:paraId="6900FE5E" w14:textId="77777777" w:rsidR="00F72A32" w:rsidRPr="008B1CF6" w:rsidRDefault="00F72A32" w:rsidP="00F72A32">
      <w:pPr>
        <w:spacing w:after="0" w:line="240" w:lineRule="auto"/>
        <w:rPr>
          <w:rFonts w:ascii="Public Sans" w:hAnsi="Public Sans" w:cstheme="minorHAnsi"/>
          <w:szCs w:val="22"/>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408"/>
        <w:gridCol w:w="3335"/>
        <w:gridCol w:w="4419"/>
        <w:gridCol w:w="1609"/>
      </w:tblGrid>
      <w:tr w:rsidR="00F72A32" w:rsidRPr="008B1CF6" w14:paraId="28B957E9" w14:textId="77777777" w:rsidTr="00A63330">
        <w:trPr>
          <w:cnfStyle w:val="100000000000" w:firstRow="1" w:lastRow="0" w:firstColumn="0" w:lastColumn="0" w:oddVBand="0" w:evenVBand="0" w:oddHBand="0" w:evenHBand="0" w:firstRowFirstColumn="0" w:firstRowLastColumn="0" w:lastRowFirstColumn="0" w:lastRowLastColumn="0"/>
        </w:trPr>
        <w:tc>
          <w:tcPr>
            <w:tcW w:w="10771" w:type="dxa"/>
            <w:gridSpan w:val="4"/>
            <w:hideMark/>
          </w:tcPr>
          <w:p w14:paraId="662B5DC6" w14:textId="77777777" w:rsidR="00F72A32" w:rsidRPr="008B1CF6" w:rsidRDefault="00F72A32" w:rsidP="00A63330">
            <w:pPr>
              <w:pStyle w:val="TableBullet"/>
              <w:numPr>
                <w:ilvl w:val="0"/>
                <w:numId w:val="0"/>
              </w:numPr>
              <w:tabs>
                <w:tab w:val="left" w:pos="720"/>
              </w:tabs>
              <w:spacing w:line="240" w:lineRule="auto"/>
              <w:jc w:val="both"/>
              <w:rPr>
                <w:rFonts w:ascii="Public Sans" w:hAnsi="Public Sans"/>
                <w:b/>
                <w:bCs/>
                <w:noProof/>
                <w:color w:val="FF0000"/>
                <w:sz w:val="22"/>
                <w:szCs w:val="22"/>
                <w:highlight w:val="yellow"/>
                <w:lang w:eastAsia="en-AU"/>
              </w:rPr>
            </w:pPr>
            <w:r w:rsidRPr="008B1CF6">
              <w:rPr>
                <w:rFonts w:ascii="Public Sans" w:hAnsi="Public Sans"/>
                <w:b/>
                <w:bCs/>
                <w:color w:val="FFFFFF" w:themeColor="background1"/>
                <w:sz w:val="22"/>
                <w:szCs w:val="22"/>
              </w:rPr>
              <w:t xml:space="preserve">Focus Occupation Specific Capabilities </w:t>
            </w:r>
          </w:p>
        </w:tc>
      </w:tr>
      <w:tr w:rsidR="00F72A32" w:rsidRPr="008B1CF6" w14:paraId="3ECE09A8" w14:textId="77777777" w:rsidTr="00A63330">
        <w:trPr>
          <w:trHeight w:val="675"/>
        </w:trPr>
        <w:tc>
          <w:tcPr>
            <w:tcW w:w="1408" w:type="dxa"/>
            <w:vMerge w:val="restart"/>
            <w:tcBorders>
              <w:top w:val="single" w:sz="8" w:space="0" w:color="BCBEC0"/>
              <w:left w:val="nil"/>
              <w:bottom w:val="single" w:sz="8" w:space="0" w:color="BCBEC0"/>
              <w:right w:val="nil"/>
            </w:tcBorders>
            <w:shd w:val="clear" w:color="auto" w:fill="F2F2F2" w:themeFill="background1" w:themeFillShade="F2"/>
          </w:tcPr>
          <w:p w14:paraId="696E5D75" w14:textId="77777777" w:rsidR="00F72A32" w:rsidRPr="008B1CF6" w:rsidRDefault="00F72A32" w:rsidP="00A63330">
            <w:pPr>
              <w:keepNext/>
              <w:spacing w:after="0" w:line="240" w:lineRule="auto"/>
              <w:rPr>
                <w:rFonts w:ascii="Public Sans" w:hAnsi="Public Sans"/>
                <w:szCs w:val="22"/>
              </w:rPr>
            </w:pPr>
          </w:p>
          <w:p w14:paraId="4A044D36" w14:textId="77777777" w:rsidR="00F72A32" w:rsidRPr="008B1CF6" w:rsidRDefault="00F72A32" w:rsidP="00A63330">
            <w:pPr>
              <w:keepNext/>
              <w:spacing w:after="0" w:line="240" w:lineRule="auto"/>
              <w:rPr>
                <w:rFonts w:ascii="Public Sans" w:hAnsi="Public Sans"/>
                <w:szCs w:val="22"/>
              </w:rPr>
            </w:pPr>
            <w:r w:rsidRPr="008B1CF6">
              <w:rPr>
                <w:rFonts w:ascii="Public Sans" w:hAnsi="Public Sans"/>
                <w:noProof/>
                <w:szCs w:val="22"/>
                <w:lang w:eastAsia="en-AU"/>
              </w:rPr>
              <w:drawing>
                <wp:inline distT="0" distB="0" distL="0" distR="0" wp14:anchorId="4F841038" wp14:editId="186F23D7">
                  <wp:extent cx="848360" cy="848360"/>
                  <wp:effectExtent l="0" t="0" r="8890" b="8890"/>
                  <wp:docPr id="2" name="Picture 2" descr="Legal logo"/>
                  <wp:cNvGraphicFramePr/>
                  <a:graphic xmlns:a="http://schemas.openxmlformats.org/drawingml/2006/main">
                    <a:graphicData uri="http://schemas.openxmlformats.org/drawingml/2006/picture">
                      <pic:pic xmlns:pic="http://schemas.openxmlformats.org/drawingml/2006/picture">
                        <pic:nvPicPr>
                          <pic:cNvPr id="9" name="Picture 9" descr="Legal logo"/>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3335" w:type="dxa"/>
            <w:tcBorders>
              <w:top w:val="single" w:sz="8" w:space="0" w:color="BCBEC0"/>
              <w:left w:val="nil"/>
              <w:bottom w:val="single" w:sz="8" w:space="0" w:color="BCBEC0"/>
              <w:right w:val="nil"/>
            </w:tcBorders>
            <w:shd w:val="clear" w:color="auto" w:fill="F2F2F2" w:themeFill="background1" w:themeFillShade="F2"/>
          </w:tcPr>
          <w:p w14:paraId="2212E630" w14:textId="77777777" w:rsidR="00F72A32" w:rsidRPr="008B1CF6" w:rsidRDefault="00F72A32" w:rsidP="00A63330">
            <w:pPr>
              <w:pStyle w:val="TableText"/>
              <w:keepNext/>
              <w:rPr>
                <w:rFonts w:ascii="Public Sans" w:hAnsi="Public Sans"/>
                <w:b/>
                <w:sz w:val="22"/>
                <w:szCs w:val="22"/>
              </w:rPr>
            </w:pPr>
            <w:r w:rsidRPr="008B1CF6">
              <w:rPr>
                <w:rFonts w:ascii="Public Sans" w:hAnsi="Public Sans"/>
                <w:b/>
                <w:sz w:val="22"/>
                <w:szCs w:val="22"/>
              </w:rPr>
              <w:t>Capability name</w:t>
            </w:r>
          </w:p>
          <w:p w14:paraId="4A15838C" w14:textId="77777777" w:rsidR="00F72A32" w:rsidRPr="008B1CF6" w:rsidRDefault="00F72A32" w:rsidP="00A63330">
            <w:pPr>
              <w:pStyle w:val="TableText"/>
              <w:keepNext/>
              <w:rPr>
                <w:rFonts w:ascii="Public Sans" w:hAnsi="Public Sans"/>
                <w:sz w:val="22"/>
                <w:szCs w:val="22"/>
              </w:rPr>
            </w:pPr>
            <w:r w:rsidRPr="008B1CF6">
              <w:rPr>
                <w:rFonts w:ascii="Public Sans" w:hAnsi="Public Sans"/>
                <w:sz w:val="22"/>
                <w:szCs w:val="22"/>
              </w:rPr>
              <w:t>Capability description</w:t>
            </w:r>
          </w:p>
          <w:p w14:paraId="36646FF8" w14:textId="77777777" w:rsidR="00F72A32" w:rsidRPr="008B1CF6" w:rsidRDefault="00F72A32" w:rsidP="00A63330">
            <w:pPr>
              <w:pStyle w:val="TableText"/>
              <w:keepNext/>
              <w:rPr>
                <w:rFonts w:ascii="Public Sans" w:hAnsi="Public Sans"/>
                <w:sz w:val="22"/>
                <w:szCs w:val="22"/>
              </w:rPr>
            </w:pPr>
          </w:p>
        </w:tc>
        <w:tc>
          <w:tcPr>
            <w:tcW w:w="4419" w:type="dxa"/>
            <w:tcBorders>
              <w:top w:val="single" w:sz="8" w:space="0" w:color="BCBEC0"/>
              <w:left w:val="nil"/>
              <w:bottom w:val="single" w:sz="8" w:space="0" w:color="BCBEC0"/>
              <w:right w:val="nil"/>
            </w:tcBorders>
            <w:shd w:val="clear" w:color="auto" w:fill="F2F2F2" w:themeFill="background1" w:themeFillShade="F2"/>
            <w:hideMark/>
          </w:tcPr>
          <w:p w14:paraId="46285C54" w14:textId="77777777" w:rsidR="00F72A32" w:rsidRPr="008B1CF6" w:rsidRDefault="00F72A32" w:rsidP="00A63330">
            <w:pPr>
              <w:pStyle w:val="TableBullet"/>
              <w:numPr>
                <w:ilvl w:val="0"/>
                <w:numId w:val="0"/>
              </w:numPr>
              <w:rPr>
                <w:rFonts w:ascii="Public Sans" w:hAnsi="Public Sans"/>
                <w:b/>
                <w:sz w:val="22"/>
                <w:szCs w:val="22"/>
              </w:rPr>
            </w:pPr>
            <w:r w:rsidRPr="008B1CF6">
              <w:rPr>
                <w:rFonts w:ascii="Public Sans" w:hAnsi="Public Sans"/>
                <w:b/>
                <w:sz w:val="22"/>
                <w:szCs w:val="22"/>
              </w:rPr>
              <w:t>Capability Set</w:t>
            </w:r>
          </w:p>
        </w:tc>
        <w:tc>
          <w:tcPr>
            <w:tcW w:w="1609" w:type="dxa"/>
            <w:tcBorders>
              <w:top w:val="single" w:sz="8" w:space="0" w:color="BCBEC0"/>
              <w:left w:val="nil"/>
              <w:bottom w:val="single" w:sz="8" w:space="0" w:color="BCBEC0"/>
              <w:right w:val="nil"/>
            </w:tcBorders>
            <w:shd w:val="clear" w:color="auto" w:fill="F2F2F2" w:themeFill="background1" w:themeFillShade="F2"/>
            <w:hideMark/>
          </w:tcPr>
          <w:p w14:paraId="156AD730" w14:textId="77777777" w:rsidR="00F72A32" w:rsidRPr="008B1CF6" w:rsidRDefault="00F72A32" w:rsidP="00A63330">
            <w:pPr>
              <w:pStyle w:val="TableBullet"/>
              <w:numPr>
                <w:ilvl w:val="0"/>
                <w:numId w:val="0"/>
              </w:numPr>
              <w:tabs>
                <w:tab w:val="left" w:pos="720"/>
              </w:tabs>
              <w:jc w:val="both"/>
              <w:rPr>
                <w:rFonts w:ascii="Public Sans" w:hAnsi="Public Sans"/>
                <w:b/>
                <w:sz w:val="22"/>
                <w:szCs w:val="22"/>
              </w:rPr>
            </w:pPr>
            <w:r w:rsidRPr="008B1CF6">
              <w:rPr>
                <w:rFonts w:ascii="Public Sans" w:hAnsi="Public Sans"/>
                <w:b/>
                <w:sz w:val="22"/>
                <w:szCs w:val="22"/>
              </w:rPr>
              <w:t>Level</w:t>
            </w:r>
          </w:p>
        </w:tc>
      </w:tr>
      <w:tr w:rsidR="00F72A32" w:rsidRPr="008B1CF6" w14:paraId="6AB37EB0" w14:textId="77777777" w:rsidTr="00A63330">
        <w:tc>
          <w:tcPr>
            <w:tcW w:w="1408" w:type="dxa"/>
            <w:vMerge/>
            <w:tcBorders>
              <w:top w:val="single" w:sz="8" w:space="0" w:color="BCBEC0"/>
              <w:left w:val="nil"/>
              <w:bottom w:val="single" w:sz="8" w:space="0" w:color="BCBEC0"/>
              <w:right w:val="nil"/>
            </w:tcBorders>
            <w:vAlign w:val="center"/>
            <w:hideMark/>
          </w:tcPr>
          <w:p w14:paraId="015534DF" w14:textId="77777777" w:rsidR="00F72A32" w:rsidRPr="008B1CF6" w:rsidRDefault="00F72A32" w:rsidP="00F72A32">
            <w:pPr>
              <w:spacing w:after="0" w:line="240" w:lineRule="auto"/>
              <w:rPr>
                <w:rFonts w:ascii="Public Sans" w:hAnsi="Public Sans"/>
                <w:szCs w:val="22"/>
              </w:rPr>
            </w:pPr>
          </w:p>
        </w:tc>
        <w:tc>
          <w:tcPr>
            <w:tcW w:w="3335" w:type="dxa"/>
            <w:tcBorders>
              <w:top w:val="single" w:sz="8" w:space="0" w:color="BCBEC0"/>
              <w:left w:val="nil"/>
              <w:bottom w:val="single" w:sz="8" w:space="0" w:color="BCBEC0"/>
              <w:right w:val="nil"/>
            </w:tcBorders>
          </w:tcPr>
          <w:p w14:paraId="71087564" w14:textId="77777777" w:rsidR="00F72A32" w:rsidRPr="008B1CF6" w:rsidRDefault="00F72A32" w:rsidP="00F72A32">
            <w:pPr>
              <w:keepNext/>
              <w:spacing w:after="0" w:line="240" w:lineRule="auto"/>
              <w:rPr>
                <w:rFonts w:ascii="Public Sans" w:eastAsia="Calibri" w:hAnsi="Public Sans" w:cs="Arial"/>
                <w:b/>
                <w:szCs w:val="22"/>
              </w:rPr>
            </w:pPr>
            <w:r w:rsidRPr="008B1CF6">
              <w:rPr>
                <w:rFonts w:ascii="Public Sans" w:eastAsia="Calibri" w:hAnsi="Public Sans" w:cs="Arial"/>
                <w:b/>
                <w:szCs w:val="22"/>
              </w:rPr>
              <w:t>Statutory Interpretation</w:t>
            </w:r>
          </w:p>
          <w:p w14:paraId="3CDA0363" w14:textId="6C8C6D1E" w:rsidR="00F72A32" w:rsidRPr="008B1CF6" w:rsidRDefault="00F72A32" w:rsidP="00F72A32">
            <w:pPr>
              <w:pStyle w:val="TableText"/>
              <w:keepNext/>
              <w:rPr>
                <w:rFonts w:ascii="Public Sans" w:hAnsi="Public Sans" w:cs="Arial"/>
                <w:sz w:val="22"/>
                <w:szCs w:val="22"/>
              </w:rPr>
            </w:pPr>
            <w:r w:rsidRPr="008B1CF6">
              <w:rPr>
                <w:rFonts w:ascii="Public Sans" w:eastAsia="Calibri" w:hAnsi="Public Sans" w:cs="Arial"/>
                <w:sz w:val="22"/>
                <w:szCs w:val="22"/>
              </w:rPr>
              <w:t>Interpret legislation, subordinate legislation and instruments in accordance with legislation and accepted legal principles</w:t>
            </w:r>
          </w:p>
        </w:tc>
        <w:tc>
          <w:tcPr>
            <w:tcW w:w="4419" w:type="dxa"/>
            <w:tcBorders>
              <w:top w:val="single" w:sz="8" w:space="0" w:color="BCBEC0"/>
              <w:left w:val="nil"/>
              <w:bottom w:val="single" w:sz="8" w:space="0" w:color="BCBEC0"/>
              <w:right w:val="nil"/>
            </w:tcBorders>
          </w:tcPr>
          <w:p w14:paraId="3F124012" w14:textId="77777777" w:rsidR="00F72A32" w:rsidRPr="008B1CF6" w:rsidRDefault="00F72A32" w:rsidP="00F72A32">
            <w:pPr>
              <w:pStyle w:val="ListBullet"/>
              <w:rPr>
                <w:rFonts w:ascii="Public Sans" w:eastAsia="Calibri" w:hAnsi="Public Sans" w:cs="Arial"/>
                <w:szCs w:val="22"/>
              </w:rPr>
            </w:pPr>
            <w:r w:rsidRPr="008B1CF6">
              <w:rPr>
                <w:rFonts w:ascii="Public Sans" w:hAnsi="Public Sans" w:cs="Arial"/>
                <w:szCs w:val="22"/>
              </w:rPr>
              <w:t>Identify and solve highly complex statutory interpretation problems through application of an extensive knowledge of the legislative process and common law, and resolve competing interpretations</w:t>
            </w:r>
          </w:p>
          <w:p w14:paraId="3A30C662" w14:textId="77777777" w:rsidR="00F72A32" w:rsidRPr="008B1CF6" w:rsidRDefault="00F72A32" w:rsidP="00F72A32">
            <w:pPr>
              <w:pStyle w:val="ListBullet"/>
              <w:rPr>
                <w:rFonts w:ascii="Public Sans" w:eastAsia="Calibri" w:hAnsi="Public Sans" w:cs="Arial"/>
                <w:szCs w:val="22"/>
              </w:rPr>
            </w:pPr>
            <w:r w:rsidRPr="008B1CF6">
              <w:rPr>
                <w:rFonts w:ascii="Public Sans" w:hAnsi="Public Sans" w:cs="Arial"/>
                <w:szCs w:val="22"/>
              </w:rPr>
              <w:t xml:space="preserve">Make use of extrinsic materials to resolve ambiguity and highly complex </w:t>
            </w:r>
            <w:r w:rsidRPr="008B1CF6">
              <w:rPr>
                <w:rFonts w:ascii="Public Sans" w:hAnsi="Public Sans" w:cs="Arial"/>
                <w:szCs w:val="22"/>
              </w:rPr>
              <w:lastRenderedPageBreak/>
              <w:t>or challenging statutory interpretation issues, consistent with legislative and common law requirements</w:t>
            </w:r>
          </w:p>
          <w:p w14:paraId="7C378141" w14:textId="77777777" w:rsidR="00F72A32" w:rsidRPr="008B1CF6" w:rsidRDefault="00F72A32" w:rsidP="00F72A32">
            <w:pPr>
              <w:pStyle w:val="ListBullet"/>
              <w:rPr>
                <w:rFonts w:ascii="Public Sans" w:eastAsia="Calibri" w:hAnsi="Public Sans" w:cs="Arial"/>
                <w:szCs w:val="22"/>
              </w:rPr>
            </w:pPr>
            <w:r w:rsidRPr="008B1CF6">
              <w:rPr>
                <w:rFonts w:ascii="Public Sans" w:hAnsi="Public Sans" w:cs="Arial"/>
                <w:szCs w:val="22"/>
              </w:rPr>
              <w:t>Understand and apply current legislation relating to interpretation of statutes to solve highly complex interpretation issues</w:t>
            </w:r>
          </w:p>
          <w:p w14:paraId="12C0C589" w14:textId="78668AC7" w:rsidR="00F72A32" w:rsidRPr="008B1CF6" w:rsidRDefault="00F72A32" w:rsidP="00F72A32">
            <w:pPr>
              <w:pStyle w:val="ListBullet"/>
              <w:rPr>
                <w:rFonts w:ascii="Public Sans" w:hAnsi="Public Sans" w:cs="Arial"/>
                <w:szCs w:val="22"/>
              </w:rPr>
            </w:pPr>
            <w:r w:rsidRPr="008B1CF6">
              <w:rPr>
                <w:rFonts w:ascii="Public Sans" w:hAnsi="Public Sans" w:cs="Arial"/>
                <w:szCs w:val="22"/>
              </w:rPr>
              <w:t>Solve complex and challenging statutory interpretation problems through an extensive understanding of the structure and operation of Acts and subordinate legislation</w:t>
            </w:r>
          </w:p>
        </w:tc>
        <w:tc>
          <w:tcPr>
            <w:tcW w:w="1609" w:type="dxa"/>
            <w:tcBorders>
              <w:top w:val="single" w:sz="8" w:space="0" w:color="BCBEC0"/>
              <w:left w:val="nil"/>
              <w:bottom w:val="single" w:sz="8" w:space="0" w:color="BCBEC0"/>
              <w:right w:val="nil"/>
            </w:tcBorders>
          </w:tcPr>
          <w:p w14:paraId="0866CC2D" w14:textId="7B07EE3F" w:rsidR="00F72A32" w:rsidRPr="008B1CF6" w:rsidRDefault="00F72A32" w:rsidP="00F72A32">
            <w:pPr>
              <w:pStyle w:val="TableBullet"/>
              <w:numPr>
                <w:ilvl w:val="0"/>
                <w:numId w:val="0"/>
              </w:numPr>
              <w:tabs>
                <w:tab w:val="left" w:pos="720"/>
              </w:tabs>
              <w:jc w:val="both"/>
              <w:rPr>
                <w:rFonts w:ascii="Public Sans" w:hAnsi="Public Sans" w:cs="Arial"/>
                <w:sz w:val="22"/>
                <w:szCs w:val="22"/>
              </w:rPr>
            </w:pPr>
            <w:r w:rsidRPr="008B1CF6">
              <w:rPr>
                <w:rFonts w:ascii="Public Sans" w:eastAsia="Calibri" w:hAnsi="Public Sans" w:cs="Arial"/>
                <w:sz w:val="22"/>
                <w:szCs w:val="22"/>
              </w:rPr>
              <w:lastRenderedPageBreak/>
              <w:t>Level 4</w:t>
            </w:r>
          </w:p>
        </w:tc>
      </w:tr>
    </w:tbl>
    <w:p w14:paraId="484362D2" w14:textId="77777777" w:rsidR="00F72A32" w:rsidRPr="008B1CF6" w:rsidRDefault="00F72A32" w:rsidP="00030D68">
      <w:pPr>
        <w:spacing w:before="1" w:line="264" w:lineRule="auto"/>
        <w:ind w:right="702"/>
        <w:rPr>
          <w:rFonts w:ascii="Public Sans" w:eastAsia="Calibri" w:hAnsi="Public Sans" w:cs="Arial"/>
          <w:color w:val="404040"/>
        </w:rPr>
      </w:pPr>
    </w:p>
    <w:p w14:paraId="428B049B" w14:textId="77777777" w:rsidR="004B2EE3" w:rsidRPr="008B1CF6" w:rsidRDefault="004B2EE3" w:rsidP="00030D68">
      <w:pPr>
        <w:keepNext/>
        <w:spacing w:after="0" w:line="400" w:lineRule="atLeast"/>
        <w:outlineLvl w:val="0"/>
        <w:rPr>
          <w:rFonts w:ascii="Public Sans" w:hAnsi="Public Sans" w:cs="Arial"/>
          <w:b/>
          <w:bCs/>
          <w:kern w:val="32"/>
          <w:sz w:val="26"/>
          <w:szCs w:val="32"/>
        </w:rPr>
      </w:pPr>
    </w:p>
    <w:p w14:paraId="6143F668" w14:textId="4806A8EA" w:rsidR="00030D68" w:rsidRPr="008B1CF6" w:rsidRDefault="00030D68" w:rsidP="00030D68">
      <w:pPr>
        <w:keepNext/>
        <w:spacing w:after="0" w:line="400" w:lineRule="atLeast"/>
        <w:outlineLvl w:val="0"/>
        <w:rPr>
          <w:rFonts w:ascii="Public Sans" w:hAnsi="Public Sans" w:cs="Arial"/>
          <w:b/>
          <w:bCs/>
          <w:kern w:val="32"/>
          <w:sz w:val="26"/>
          <w:szCs w:val="32"/>
        </w:rPr>
      </w:pPr>
      <w:r w:rsidRPr="008B1CF6">
        <w:rPr>
          <w:rFonts w:ascii="Public Sans" w:hAnsi="Public Sans" w:cs="Arial"/>
          <w:b/>
          <w:bCs/>
          <w:kern w:val="32"/>
          <w:sz w:val="26"/>
          <w:szCs w:val="32"/>
        </w:rPr>
        <w:t>Complementary capabilities</w:t>
      </w:r>
    </w:p>
    <w:p w14:paraId="0750DF88" w14:textId="77777777" w:rsidR="00030D68" w:rsidRPr="008B1CF6" w:rsidRDefault="00030D68" w:rsidP="00030D68">
      <w:pPr>
        <w:spacing w:before="62" w:after="0" w:line="276" w:lineRule="auto"/>
        <w:rPr>
          <w:rFonts w:ascii="Public Sans" w:eastAsiaTheme="minorEastAsia" w:hAnsi="Public Sans" w:cs="Arial"/>
          <w:szCs w:val="22"/>
          <w:lang w:val="en-US"/>
        </w:rPr>
      </w:pPr>
      <w:r w:rsidRPr="008B1CF6">
        <w:rPr>
          <w:rFonts w:ascii="Public Sans" w:eastAsiaTheme="minorEastAsia" w:hAnsi="Public Sans" w:cs="Arial"/>
          <w:i/>
          <w:szCs w:val="22"/>
          <w:lang w:val="en-US"/>
        </w:rPr>
        <w:t>Complementary capabilities</w:t>
      </w:r>
      <w:r w:rsidRPr="008B1CF6">
        <w:rPr>
          <w:rFonts w:ascii="Public Sans" w:eastAsiaTheme="minorEastAsia" w:hAnsi="Public Sans" w:cs="Arial"/>
          <w:szCs w:val="22"/>
          <w:lang w:val="en-US"/>
        </w:rPr>
        <w:t xml:space="preserve"> are also identified from the Capability Framework and relevant occupation-specific capability sets. They are important to identifying performance required for the role and development opportunities. </w:t>
      </w:r>
    </w:p>
    <w:p w14:paraId="449C1F86" w14:textId="3447E83E" w:rsidR="00030D68" w:rsidRPr="008B1CF6" w:rsidRDefault="00030D68" w:rsidP="00030D68">
      <w:pPr>
        <w:spacing w:before="62" w:after="0" w:line="276" w:lineRule="auto"/>
        <w:rPr>
          <w:rFonts w:ascii="Public Sans" w:eastAsiaTheme="minorEastAsia" w:hAnsi="Public Sans" w:cs="Arial"/>
          <w:szCs w:val="22"/>
          <w:lang w:val="en-US"/>
        </w:rPr>
      </w:pPr>
      <w:r w:rsidRPr="008B1CF6">
        <w:rPr>
          <w:rFonts w:ascii="Public Sans" w:eastAsiaTheme="minorEastAsia" w:hAnsi="Public Sans" w:cs="Arial"/>
          <w:szCs w:val="22"/>
          <w:lang w:val="en-US"/>
        </w:rPr>
        <w:t>Note: capabilities listed as ‘not essential’ for this role is not relevant for recruitment purposes however may be relevant for future career development.</w:t>
      </w:r>
    </w:p>
    <w:p w14:paraId="45A566E5" w14:textId="77777777" w:rsidR="002C34F4" w:rsidRPr="008B1CF6" w:rsidRDefault="002C34F4" w:rsidP="00030D68">
      <w:pPr>
        <w:spacing w:before="62" w:after="0" w:line="276" w:lineRule="auto"/>
        <w:rPr>
          <w:rFonts w:ascii="Public Sans" w:eastAsiaTheme="minorEastAsia" w:hAnsi="Public Sans" w:cs="Arial"/>
          <w:szCs w:val="22"/>
          <w:lang w:val="en-US"/>
        </w:rPr>
      </w:pPr>
    </w:p>
    <w:tbl>
      <w:tblPr>
        <w:tblStyle w:val="PSCPurple2"/>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030D68" w:rsidRPr="008B1CF6" w14:paraId="1DB1582B" w14:textId="77777777" w:rsidTr="00D52EE2">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34723D95" w14:textId="77777777" w:rsidR="00030D68" w:rsidRPr="008B1CF6" w:rsidRDefault="00030D68" w:rsidP="00030D68">
            <w:pPr>
              <w:keepNext/>
              <w:spacing w:before="40" w:after="40" w:line="280" w:lineRule="atLeast"/>
              <w:jc w:val="both"/>
              <w:rPr>
                <w:rFonts w:ascii="Public Sans" w:hAnsi="Public Sans" w:cstheme="minorHAnsi"/>
                <w:b/>
                <w:color w:val="FFFFFF"/>
                <w:szCs w:val="22"/>
              </w:rPr>
            </w:pPr>
            <w:r w:rsidRPr="008B1CF6">
              <w:rPr>
                <w:rFonts w:ascii="Public Sans" w:hAnsi="Public Sans" w:cstheme="minorHAnsi"/>
                <w:b/>
                <w:color w:val="FFFFFF"/>
                <w:szCs w:val="22"/>
              </w:rPr>
              <w:t>COMPLEMENTARY CAPABILITIES</w:t>
            </w:r>
          </w:p>
        </w:tc>
      </w:tr>
      <w:tr w:rsidR="00030D68" w:rsidRPr="008B1CF6" w14:paraId="315BC72D" w14:textId="77777777" w:rsidTr="00D52EE2">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379037B2" w14:textId="77777777" w:rsidR="00030D68" w:rsidRPr="008B1CF6" w:rsidRDefault="00030D68" w:rsidP="00030D68">
            <w:pPr>
              <w:keepNext/>
              <w:spacing w:before="40" w:after="40" w:line="280" w:lineRule="atLeast"/>
              <w:rPr>
                <w:rFonts w:ascii="Public Sans" w:hAnsi="Public Sans" w:cstheme="minorHAnsi"/>
                <w:b/>
                <w:szCs w:val="22"/>
              </w:rPr>
            </w:pPr>
            <w:r w:rsidRPr="008B1CF6">
              <w:rPr>
                <w:rFonts w:ascii="Public Sans" w:hAnsi="Public Sans" w:cstheme="minorHAnsi"/>
                <w:b/>
                <w:szCs w:val="22"/>
              </w:rPr>
              <w:t>Capability Group/Sets</w:t>
            </w:r>
          </w:p>
        </w:tc>
        <w:tc>
          <w:tcPr>
            <w:tcW w:w="2409" w:type="dxa"/>
            <w:tcBorders>
              <w:bottom w:val="nil"/>
            </w:tcBorders>
            <w:shd w:val="clear" w:color="auto" w:fill="BCBEC0"/>
          </w:tcPr>
          <w:p w14:paraId="32B58BD8" w14:textId="77777777" w:rsidR="00030D68" w:rsidRPr="008B1CF6" w:rsidRDefault="00030D68" w:rsidP="00030D68">
            <w:pPr>
              <w:keepNext/>
              <w:spacing w:before="40" w:after="40" w:line="280" w:lineRule="atLeast"/>
              <w:rPr>
                <w:rFonts w:ascii="Public Sans" w:hAnsi="Public Sans" w:cstheme="minorHAnsi"/>
                <w:b/>
                <w:szCs w:val="22"/>
              </w:rPr>
            </w:pPr>
            <w:r w:rsidRPr="008B1CF6">
              <w:rPr>
                <w:rFonts w:ascii="Public Sans" w:hAnsi="Public Sans" w:cstheme="minorHAnsi"/>
                <w:b/>
                <w:szCs w:val="22"/>
              </w:rPr>
              <w:t>Capability Name</w:t>
            </w:r>
          </w:p>
        </w:tc>
        <w:tc>
          <w:tcPr>
            <w:tcW w:w="4967" w:type="dxa"/>
            <w:tcBorders>
              <w:bottom w:val="nil"/>
            </w:tcBorders>
            <w:shd w:val="clear" w:color="auto" w:fill="BCBEC0"/>
          </w:tcPr>
          <w:p w14:paraId="79C2B1AF" w14:textId="77777777" w:rsidR="00030D68" w:rsidRPr="008B1CF6" w:rsidRDefault="00030D68" w:rsidP="00030D68">
            <w:pPr>
              <w:keepNext/>
              <w:spacing w:before="40" w:after="40" w:line="280" w:lineRule="atLeast"/>
              <w:rPr>
                <w:rFonts w:ascii="Public Sans" w:hAnsi="Public Sans" w:cstheme="minorHAnsi"/>
                <w:b/>
                <w:szCs w:val="22"/>
              </w:rPr>
            </w:pPr>
            <w:r w:rsidRPr="008B1CF6">
              <w:rPr>
                <w:rFonts w:ascii="Public Sans" w:hAnsi="Public Sans" w:cstheme="minorHAnsi"/>
                <w:b/>
                <w:szCs w:val="22"/>
              </w:rPr>
              <w:t>Description</w:t>
            </w:r>
          </w:p>
        </w:tc>
        <w:tc>
          <w:tcPr>
            <w:tcW w:w="1843" w:type="dxa"/>
            <w:tcBorders>
              <w:bottom w:val="nil"/>
            </w:tcBorders>
            <w:shd w:val="clear" w:color="auto" w:fill="BCBEC0"/>
          </w:tcPr>
          <w:p w14:paraId="3D278D12" w14:textId="77777777" w:rsidR="00030D68" w:rsidRPr="008B1CF6" w:rsidRDefault="00030D68" w:rsidP="00030D68">
            <w:pPr>
              <w:keepNext/>
              <w:spacing w:before="40" w:after="40" w:line="280" w:lineRule="atLeast"/>
              <w:jc w:val="both"/>
              <w:rPr>
                <w:rFonts w:ascii="Public Sans" w:hAnsi="Public Sans" w:cstheme="minorHAnsi"/>
                <w:b/>
                <w:szCs w:val="22"/>
              </w:rPr>
            </w:pPr>
            <w:r w:rsidRPr="008B1CF6">
              <w:rPr>
                <w:rFonts w:ascii="Public Sans" w:hAnsi="Public Sans" w:cstheme="minorHAnsi"/>
                <w:b/>
                <w:szCs w:val="22"/>
              </w:rPr>
              <w:t xml:space="preserve">Level </w:t>
            </w:r>
          </w:p>
        </w:tc>
      </w:tr>
      <w:tr w:rsidR="00030D68" w:rsidRPr="008B1CF6" w14:paraId="06C93190" w14:textId="77777777" w:rsidTr="00D52EE2">
        <w:trPr>
          <w:trHeight w:val="20"/>
        </w:trPr>
        <w:tc>
          <w:tcPr>
            <w:tcW w:w="1470" w:type="dxa"/>
            <w:vMerge w:val="restart"/>
            <w:tcBorders>
              <w:top w:val="nil"/>
            </w:tcBorders>
            <w:shd w:val="clear" w:color="auto" w:fill="F2F2F2" w:themeFill="background1" w:themeFillShade="F2"/>
          </w:tcPr>
          <w:p w14:paraId="28F4E8CF" w14:textId="77777777" w:rsidR="00030D68" w:rsidRPr="008B1CF6" w:rsidRDefault="00030D68" w:rsidP="00030D68">
            <w:pPr>
              <w:keepNext/>
              <w:spacing w:after="0" w:line="240" w:lineRule="auto"/>
              <w:rPr>
                <w:rFonts w:ascii="Public Sans" w:hAnsi="Public Sans" w:cstheme="minorHAnsi"/>
                <w:szCs w:val="22"/>
              </w:rPr>
            </w:pPr>
            <w:r w:rsidRPr="008B1CF6">
              <w:rPr>
                <w:rFonts w:ascii="Public Sans" w:hAnsi="Public Sans" w:cstheme="minorHAnsi"/>
                <w:noProof/>
                <w:szCs w:val="22"/>
                <w:lang w:eastAsia="en-AU"/>
              </w:rPr>
              <w:drawing>
                <wp:inline distT="0" distB="0" distL="0" distR="0" wp14:anchorId="14063CFA" wp14:editId="18B583F2">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6941069" w14:textId="77777777" w:rsidR="00030D68" w:rsidRPr="008B1CF6" w:rsidRDefault="00030D68" w:rsidP="00030D68">
            <w:pPr>
              <w:keepNext/>
              <w:spacing w:before="40" w:after="40" w:line="280" w:lineRule="atLeast"/>
              <w:rPr>
                <w:rFonts w:ascii="Public Sans" w:hAnsi="Public Sans" w:cstheme="minorHAnsi"/>
                <w:szCs w:val="22"/>
              </w:rPr>
            </w:pPr>
          </w:p>
        </w:tc>
        <w:tc>
          <w:tcPr>
            <w:tcW w:w="4967" w:type="dxa"/>
            <w:tcBorders>
              <w:top w:val="nil"/>
              <w:bottom w:val="nil"/>
            </w:tcBorders>
            <w:shd w:val="clear" w:color="auto" w:fill="F2F2F2" w:themeFill="background1" w:themeFillShade="F2"/>
          </w:tcPr>
          <w:p w14:paraId="0946635D" w14:textId="77777777" w:rsidR="00030D68" w:rsidRPr="008B1CF6" w:rsidRDefault="00030D68" w:rsidP="00030D68">
            <w:pPr>
              <w:spacing w:after="0" w:line="240" w:lineRule="auto"/>
              <w:rPr>
                <w:rFonts w:ascii="Public Sans" w:hAnsi="Public Sans" w:cstheme="minorHAnsi"/>
                <w:szCs w:val="22"/>
              </w:rPr>
            </w:pPr>
          </w:p>
        </w:tc>
        <w:tc>
          <w:tcPr>
            <w:tcW w:w="1843" w:type="dxa"/>
            <w:tcBorders>
              <w:top w:val="nil"/>
              <w:bottom w:val="nil"/>
            </w:tcBorders>
            <w:shd w:val="clear" w:color="auto" w:fill="F2F2F2" w:themeFill="background1" w:themeFillShade="F2"/>
          </w:tcPr>
          <w:p w14:paraId="6C5EAABE" w14:textId="77777777" w:rsidR="00030D68" w:rsidRPr="008B1CF6" w:rsidRDefault="00030D68" w:rsidP="00030D68">
            <w:pPr>
              <w:keepNext/>
              <w:spacing w:before="40" w:after="40" w:line="280" w:lineRule="atLeast"/>
              <w:rPr>
                <w:rFonts w:ascii="Public Sans" w:hAnsi="Public Sans" w:cstheme="minorHAnsi"/>
                <w:szCs w:val="22"/>
              </w:rPr>
            </w:pPr>
          </w:p>
        </w:tc>
      </w:tr>
      <w:tr w:rsidR="00030D68" w:rsidRPr="008B1CF6" w14:paraId="56DC0D28" w14:textId="77777777" w:rsidTr="00D52EE2">
        <w:tc>
          <w:tcPr>
            <w:tcW w:w="1470" w:type="dxa"/>
            <w:vMerge/>
          </w:tcPr>
          <w:p w14:paraId="6F7F2293" w14:textId="77777777" w:rsidR="00030D68" w:rsidRPr="008B1CF6" w:rsidRDefault="00030D68" w:rsidP="00030D68">
            <w:pPr>
              <w:keepNext/>
              <w:spacing w:after="0" w:line="240" w:lineRule="auto"/>
              <w:rPr>
                <w:rFonts w:ascii="Public Sans" w:hAnsi="Public Sans" w:cstheme="minorHAnsi"/>
                <w:szCs w:val="22"/>
              </w:rPr>
            </w:pPr>
          </w:p>
        </w:tc>
        <w:tc>
          <w:tcPr>
            <w:tcW w:w="2409" w:type="dxa"/>
            <w:tcBorders>
              <w:top w:val="nil"/>
              <w:bottom w:val="single" w:sz="4" w:space="0" w:color="D9D9D9" w:themeColor="background1" w:themeShade="D9"/>
            </w:tcBorders>
          </w:tcPr>
          <w:p w14:paraId="7B5E4341"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Display Resilience and Courage</w:t>
            </w:r>
          </w:p>
        </w:tc>
        <w:tc>
          <w:tcPr>
            <w:tcW w:w="4967" w:type="dxa"/>
            <w:tcBorders>
              <w:top w:val="nil"/>
              <w:bottom w:val="single" w:sz="4" w:space="0" w:color="D9D9D9" w:themeColor="background1" w:themeShade="D9"/>
            </w:tcBorders>
          </w:tcPr>
          <w:p w14:paraId="6A471D81"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Be open and honest, prepared to express your views, and willing to accept and commit to change</w:t>
            </w:r>
          </w:p>
        </w:tc>
        <w:sdt>
          <w:sdtPr>
            <w:rPr>
              <w:rFonts w:ascii="Public Sans" w:hAnsi="Public Sans" w:cstheme="minorHAnsi"/>
              <w:szCs w:val="22"/>
            </w:rPr>
            <w:id w:val="41406475"/>
            <w:placeholder>
              <w:docPart w:val="E6BDDA1CF266449395A2E9E6B82CACA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4543D8AC" w14:textId="66308185"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60E07CC9" w14:textId="77777777" w:rsidTr="00D52EE2">
        <w:tc>
          <w:tcPr>
            <w:tcW w:w="1470" w:type="dxa"/>
            <w:vMerge/>
          </w:tcPr>
          <w:p w14:paraId="52F1AD18" w14:textId="77777777" w:rsidR="00030D68" w:rsidRPr="008B1CF6" w:rsidRDefault="00030D68" w:rsidP="00030D68">
            <w:pPr>
              <w:keepNext/>
              <w:spacing w:after="0" w:line="240" w:lineRule="auto"/>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1C8A4B56"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Manage Self</w:t>
            </w:r>
          </w:p>
        </w:tc>
        <w:tc>
          <w:tcPr>
            <w:tcW w:w="4967" w:type="dxa"/>
            <w:tcBorders>
              <w:top w:val="single" w:sz="4" w:space="0" w:color="D9D9D9" w:themeColor="background1" w:themeShade="D9"/>
              <w:bottom w:val="single" w:sz="4" w:space="0" w:color="D9D9D9" w:themeColor="background1" w:themeShade="D9"/>
            </w:tcBorders>
          </w:tcPr>
          <w:p w14:paraId="0078DF03"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Show drive and motivation, an ability to self-reflect and a commitment to learning</w:t>
            </w:r>
          </w:p>
        </w:tc>
        <w:sdt>
          <w:sdtPr>
            <w:rPr>
              <w:rFonts w:ascii="Public Sans" w:hAnsi="Public Sans" w:cstheme="minorHAnsi"/>
              <w:szCs w:val="22"/>
            </w:rPr>
            <w:id w:val="-1353565671"/>
            <w:placeholder>
              <w:docPart w:val="35A31ADCDCE54460AB11A2F341CFBE2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810357B" w14:textId="6DE5BB1B"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5385F792" w14:textId="77777777" w:rsidTr="00D52EE2">
        <w:tc>
          <w:tcPr>
            <w:tcW w:w="1470" w:type="dxa"/>
            <w:vMerge/>
            <w:tcBorders>
              <w:bottom w:val="single" w:sz="4" w:space="0" w:color="auto"/>
            </w:tcBorders>
          </w:tcPr>
          <w:p w14:paraId="1F200CCE" w14:textId="77777777" w:rsidR="00030D68" w:rsidRPr="008B1CF6" w:rsidRDefault="00030D68" w:rsidP="00030D68">
            <w:pPr>
              <w:keepNext/>
              <w:spacing w:after="0" w:line="240" w:lineRule="auto"/>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B97EFE3" w14:textId="77777777" w:rsidR="00030D68" w:rsidRPr="008B1CF6" w:rsidRDefault="00030D68" w:rsidP="00030D68">
            <w:pPr>
              <w:spacing w:before="40" w:after="40" w:line="280" w:lineRule="atLeast"/>
              <w:rPr>
                <w:rFonts w:ascii="Public Sans" w:hAnsi="Public Sans" w:cstheme="minorHAnsi"/>
                <w:szCs w:val="22"/>
              </w:rPr>
            </w:pPr>
            <w:r w:rsidRPr="008B1CF6">
              <w:rPr>
                <w:rFonts w:ascii="Public Sans" w:hAnsi="Public Sans" w:cstheme="minorHAnsi"/>
                <w:szCs w:val="22"/>
              </w:rPr>
              <w:t>Value Diversity and Inclusion</w:t>
            </w:r>
          </w:p>
        </w:tc>
        <w:tc>
          <w:tcPr>
            <w:tcW w:w="4967" w:type="dxa"/>
            <w:tcBorders>
              <w:top w:val="single" w:sz="4" w:space="0" w:color="D9D9D9" w:themeColor="background1" w:themeShade="D9"/>
              <w:bottom w:val="single" w:sz="4" w:space="0" w:color="auto"/>
            </w:tcBorders>
          </w:tcPr>
          <w:p w14:paraId="7EDAA204"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Cs w:val="22"/>
            </w:rPr>
            <w:id w:val="537483101"/>
            <w:placeholder>
              <w:docPart w:val="6FF0B83E0E1A4433BC08AF26765C01A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4866964" w14:textId="2BA019C3" w:rsidR="00030D68" w:rsidRPr="008B1CF6" w:rsidRDefault="005150F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23E6844E" w14:textId="77777777" w:rsidTr="00D52EE2">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5777880" w14:textId="77777777" w:rsidR="00030D68" w:rsidRPr="008B1CF6" w:rsidRDefault="00030D68" w:rsidP="00030D68">
            <w:pPr>
              <w:keepNext/>
              <w:spacing w:after="0" w:line="240" w:lineRule="auto"/>
              <w:rPr>
                <w:rFonts w:ascii="Public Sans" w:hAnsi="Public Sans" w:cstheme="minorHAnsi"/>
                <w:noProof/>
                <w:szCs w:val="22"/>
                <w:lang w:eastAsia="en-AU"/>
              </w:rPr>
            </w:pPr>
            <w:r w:rsidRPr="008B1CF6">
              <w:rPr>
                <w:rFonts w:ascii="Public Sans" w:hAnsi="Public Sans" w:cstheme="minorHAnsi"/>
                <w:noProof/>
                <w:szCs w:val="22"/>
                <w:lang w:eastAsia="en-AU"/>
              </w:rPr>
              <w:drawing>
                <wp:inline distT="0" distB="0" distL="0" distR="0" wp14:anchorId="07A45D6E" wp14:editId="47A0F211">
                  <wp:extent cx="855980" cy="855980"/>
                  <wp:effectExtent l="0" t="0" r="1270" b="1270"/>
                  <wp:docPr id="14" name="Picture 1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356A5E2" w14:textId="77777777" w:rsidR="00030D68" w:rsidRPr="008B1CF6" w:rsidRDefault="00030D68" w:rsidP="00030D68">
            <w:pPr>
              <w:keepNext/>
              <w:spacing w:before="40" w:after="40" w:line="280" w:lineRule="atLeast"/>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E26B1B6" w14:textId="77777777" w:rsidR="00030D68" w:rsidRPr="008B1CF6" w:rsidRDefault="00030D68" w:rsidP="00030D68">
            <w:pPr>
              <w:spacing w:after="0" w:line="240" w:lineRule="auto"/>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D7C4817" w14:textId="77777777" w:rsidR="00030D68" w:rsidRPr="008B1CF6" w:rsidRDefault="00030D68" w:rsidP="00030D68">
            <w:pPr>
              <w:keepNext/>
              <w:spacing w:before="40" w:after="40" w:line="280" w:lineRule="atLeast"/>
              <w:rPr>
                <w:rFonts w:ascii="Public Sans" w:hAnsi="Public Sans" w:cstheme="minorHAnsi"/>
                <w:szCs w:val="22"/>
              </w:rPr>
            </w:pPr>
          </w:p>
        </w:tc>
      </w:tr>
      <w:tr w:rsidR="00030D68" w:rsidRPr="008B1CF6" w14:paraId="5E2CFEC9" w14:textId="77777777" w:rsidTr="00D52EE2">
        <w:tblPrEx>
          <w:tblBorders>
            <w:top w:val="single" w:sz="8" w:space="0" w:color="auto"/>
            <w:bottom w:val="single" w:sz="8" w:space="0" w:color="BCBEC0"/>
          </w:tblBorders>
        </w:tblPrEx>
        <w:tc>
          <w:tcPr>
            <w:tcW w:w="1470" w:type="dxa"/>
            <w:vMerge/>
          </w:tcPr>
          <w:p w14:paraId="5D6E782E" w14:textId="77777777" w:rsidR="00030D68" w:rsidRPr="008B1CF6" w:rsidRDefault="00030D68" w:rsidP="00030D68">
            <w:pPr>
              <w:keepNext/>
              <w:spacing w:after="0" w:line="240" w:lineRule="auto"/>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205605D"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534EBFF4"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Collaborate with others and value their contribution</w:t>
            </w:r>
          </w:p>
        </w:tc>
        <w:sdt>
          <w:sdtPr>
            <w:rPr>
              <w:rFonts w:ascii="Public Sans" w:hAnsi="Public Sans" w:cstheme="minorHAnsi"/>
              <w:szCs w:val="22"/>
            </w:rPr>
            <w:id w:val="-644345699"/>
            <w:placeholder>
              <w:docPart w:val="30E97D148C624ABBB481053760FA300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F26CA56" w14:textId="38092282" w:rsidR="00030D68" w:rsidRPr="008B1CF6" w:rsidRDefault="0014638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1D9D56B4" w14:textId="77777777" w:rsidTr="00D52EE2">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F375209" w14:textId="77777777" w:rsidR="00030D68" w:rsidRPr="008B1CF6" w:rsidRDefault="00030D68" w:rsidP="00030D68">
            <w:pPr>
              <w:keepNext/>
              <w:spacing w:after="0" w:line="240" w:lineRule="auto"/>
              <w:rPr>
                <w:rFonts w:ascii="Public Sans" w:hAnsi="Public Sans" w:cstheme="minorHAnsi"/>
                <w:noProof/>
                <w:szCs w:val="22"/>
                <w:lang w:eastAsia="en-AU"/>
              </w:rPr>
            </w:pPr>
            <w:r w:rsidRPr="008B1CF6">
              <w:rPr>
                <w:rFonts w:ascii="Public Sans" w:hAnsi="Public Sans" w:cstheme="minorHAnsi"/>
                <w:noProof/>
                <w:szCs w:val="22"/>
                <w:lang w:eastAsia="en-AU"/>
              </w:rPr>
              <w:drawing>
                <wp:inline distT="0" distB="0" distL="0" distR="0" wp14:anchorId="04735D5B" wp14:editId="58D1241B">
                  <wp:extent cx="855980" cy="855980"/>
                  <wp:effectExtent l="0" t="0" r="1270" b="1270"/>
                  <wp:docPr id="15" name="Picture 15"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8532E7D" w14:textId="77777777" w:rsidR="00030D68" w:rsidRPr="008B1CF6" w:rsidRDefault="00030D68" w:rsidP="00030D68">
            <w:pPr>
              <w:spacing w:after="0" w:line="240" w:lineRule="auto"/>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A2B37C4" w14:textId="77777777" w:rsidR="00030D68" w:rsidRPr="008B1CF6" w:rsidRDefault="00030D68" w:rsidP="00030D68">
            <w:pPr>
              <w:keepNext/>
              <w:spacing w:before="40" w:after="40" w:line="280" w:lineRule="atLeast"/>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707498B" w14:textId="77777777" w:rsidR="00030D68" w:rsidRPr="008B1CF6" w:rsidRDefault="00030D68" w:rsidP="00030D68">
            <w:pPr>
              <w:keepNext/>
              <w:spacing w:before="40" w:after="40" w:line="280" w:lineRule="atLeast"/>
              <w:rPr>
                <w:rFonts w:ascii="Public Sans" w:hAnsi="Public Sans" w:cstheme="minorHAnsi"/>
                <w:szCs w:val="22"/>
              </w:rPr>
            </w:pPr>
          </w:p>
        </w:tc>
      </w:tr>
      <w:tr w:rsidR="00030D68" w:rsidRPr="008B1CF6" w14:paraId="7096FF76" w14:textId="77777777" w:rsidTr="00D52EE2">
        <w:tblPrEx>
          <w:tblBorders>
            <w:top w:val="single" w:sz="8" w:space="0" w:color="auto"/>
            <w:bottom w:val="single" w:sz="8" w:space="0" w:color="BCBEC0"/>
          </w:tblBorders>
        </w:tblPrEx>
        <w:tc>
          <w:tcPr>
            <w:tcW w:w="1470" w:type="dxa"/>
            <w:vMerge/>
          </w:tcPr>
          <w:p w14:paraId="3813FEDF" w14:textId="77777777" w:rsidR="00030D68" w:rsidRPr="008B1CF6" w:rsidRDefault="00030D68" w:rsidP="00030D68">
            <w:pPr>
              <w:keepNext/>
              <w:spacing w:after="0" w:line="240" w:lineRule="auto"/>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22595CA"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bCs/>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26F04BFD"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Plan to achieve priority outcomes and respond flexibly to changing circumstances</w:t>
            </w:r>
          </w:p>
        </w:tc>
        <w:sdt>
          <w:sdtPr>
            <w:rPr>
              <w:rFonts w:ascii="Public Sans" w:hAnsi="Public Sans" w:cstheme="minorHAnsi"/>
              <w:szCs w:val="22"/>
            </w:rPr>
            <w:id w:val="-1281799861"/>
            <w:placeholder>
              <w:docPart w:val="2A51BE2C36734B4BAB6C57F7680C38D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B9FE813" w14:textId="517DB8CE" w:rsidR="00030D68" w:rsidRPr="008B1CF6" w:rsidRDefault="0014638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74687ED6" w14:textId="77777777" w:rsidTr="00D52EE2">
        <w:tblPrEx>
          <w:tblBorders>
            <w:top w:val="single" w:sz="8" w:space="0" w:color="auto"/>
            <w:bottom w:val="single" w:sz="8" w:space="0" w:color="BCBEC0"/>
          </w:tblBorders>
        </w:tblPrEx>
        <w:tc>
          <w:tcPr>
            <w:tcW w:w="1470" w:type="dxa"/>
            <w:vMerge/>
            <w:tcBorders>
              <w:bottom w:val="single" w:sz="4" w:space="0" w:color="auto"/>
            </w:tcBorders>
          </w:tcPr>
          <w:p w14:paraId="6BD334B2" w14:textId="77777777" w:rsidR="00030D68" w:rsidRPr="008B1CF6" w:rsidRDefault="00030D68" w:rsidP="00030D68">
            <w:pPr>
              <w:spacing w:after="0" w:line="240" w:lineRule="auto"/>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09980FC" w14:textId="77777777" w:rsidR="00030D68" w:rsidRPr="008B1CF6" w:rsidRDefault="00030D68" w:rsidP="00030D68">
            <w:pPr>
              <w:spacing w:before="40" w:after="40" w:line="280" w:lineRule="atLeast"/>
              <w:rPr>
                <w:rFonts w:ascii="Public Sans" w:hAnsi="Public Sans" w:cstheme="minorHAnsi"/>
                <w:szCs w:val="22"/>
              </w:rPr>
            </w:pPr>
            <w:r w:rsidRPr="008B1CF6">
              <w:rPr>
                <w:rFonts w:ascii="Public Sans" w:hAnsi="Public Sans" w:cstheme="minorHAnsi"/>
                <w:szCs w:val="22"/>
              </w:rPr>
              <w:t>Demonstrate Accountability</w:t>
            </w:r>
          </w:p>
        </w:tc>
        <w:tc>
          <w:tcPr>
            <w:tcW w:w="4967" w:type="dxa"/>
            <w:tcBorders>
              <w:top w:val="single" w:sz="4" w:space="0" w:color="D9D9D9" w:themeColor="background1" w:themeShade="D9"/>
              <w:bottom w:val="single" w:sz="4" w:space="0" w:color="auto"/>
            </w:tcBorders>
          </w:tcPr>
          <w:p w14:paraId="3BF601D0"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Be proactive and responsible for own actions, and adhere to legislation, policy and guidelines</w:t>
            </w:r>
          </w:p>
        </w:tc>
        <w:sdt>
          <w:sdtPr>
            <w:rPr>
              <w:rFonts w:ascii="Public Sans" w:hAnsi="Public Sans" w:cstheme="minorHAnsi"/>
              <w:szCs w:val="22"/>
            </w:rPr>
            <w:id w:val="321314079"/>
            <w:placeholder>
              <w:docPart w:val="9DDD2F748D7F4D5EA5AD7151D098F3A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7B0603A" w14:textId="5F27A009" w:rsidR="00030D68" w:rsidRPr="008B1CF6" w:rsidRDefault="0014638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5E298FD3" w14:textId="77777777" w:rsidTr="00D52EE2">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7D6DBEA" w14:textId="77777777" w:rsidR="00030D68" w:rsidRPr="008B1CF6" w:rsidRDefault="00030D68" w:rsidP="00030D68">
            <w:pPr>
              <w:keepNext/>
              <w:spacing w:after="0" w:line="240" w:lineRule="auto"/>
              <w:rPr>
                <w:rFonts w:ascii="Public Sans" w:hAnsi="Public Sans" w:cstheme="minorHAnsi"/>
                <w:szCs w:val="22"/>
              </w:rPr>
            </w:pPr>
            <w:r w:rsidRPr="008B1CF6">
              <w:rPr>
                <w:rFonts w:ascii="Public Sans" w:hAnsi="Public Sans" w:cstheme="minorHAnsi"/>
                <w:noProof/>
                <w:szCs w:val="22"/>
                <w:lang w:eastAsia="en-AU"/>
              </w:rPr>
              <w:lastRenderedPageBreak/>
              <w:drawing>
                <wp:inline distT="0" distB="0" distL="0" distR="0" wp14:anchorId="6A62F48D" wp14:editId="543F3A89">
                  <wp:extent cx="848360" cy="848360"/>
                  <wp:effectExtent l="0" t="0" r="8890" b="8890"/>
                  <wp:docPr id="16" name="Picture 1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8BF89BB" w14:textId="77777777" w:rsidR="00030D68" w:rsidRPr="008B1CF6" w:rsidRDefault="00030D68" w:rsidP="00030D68">
            <w:pPr>
              <w:keepNext/>
              <w:spacing w:before="40" w:after="40" w:line="280" w:lineRule="atLeast"/>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2713B017" w14:textId="77777777" w:rsidR="00030D68" w:rsidRPr="008B1CF6" w:rsidRDefault="00030D68" w:rsidP="00030D68">
            <w:pPr>
              <w:spacing w:after="0" w:line="240" w:lineRule="auto"/>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9571E13" w14:textId="77777777" w:rsidR="00030D68" w:rsidRPr="008B1CF6" w:rsidRDefault="00030D68" w:rsidP="00030D68">
            <w:pPr>
              <w:keepNext/>
              <w:spacing w:before="40" w:after="40" w:line="280" w:lineRule="atLeast"/>
              <w:rPr>
                <w:rFonts w:ascii="Public Sans" w:hAnsi="Public Sans" w:cstheme="minorHAnsi"/>
                <w:szCs w:val="22"/>
              </w:rPr>
            </w:pPr>
          </w:p>
        </w:tc>
      </w:tr>
      <w:tr w:rsidR="00030D68" w:rsidRPr="008B1CF6" w14:paraId="5A319EF7" w14:textId="77777777" w:rsidTr="00D52EE2">
        <w:tblPrEx>
          <w:tblBorders>
            <w:top w:val="single" w:sz="8" w:space="0" w:color="auto"/>
            <w:bottom w:val="single" w:sz="8" w:space="0" w:color="BCBEC0"/>
          </w:tblBorders>
        </w:tblPrEx>
        <w:tc>
          <w:tcPr>
            <w:tcW w:w="1470" w:type="dxa"/>
            <w:vMerge/>
          </w:tcPr>
          <w:p w14:paraId="7B7F7215" w14:textId="77777777" w:rsidR="00030D68" w:rsidRPr="008B1CF6" w:rsidRDefault="00030D68" w:rsidP="00030D68">
            <w:pPr>
              <w:keepNext/>
              <w:spacing w:after="0" w:line="240" w:lineRule="auto"/>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3488710"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bCs/>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70725F54"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Understand and use available technologies to maximise efficiencies and effectiveness</w:t>
            </w:r>
          </w:p>
        </w:tc>
        <w:sdt>
          <w:sdtPr>
            <w:rPr>
              <w:rFonts w:ascii="Public Sans" w:hAnsi="Public Sans" w:cstheme="minorHAnsi"/>
              <w:szCs w:val="22"/>
            </w:rPr>
            <w:id w:val="1274437086"/>
            <w:placeholder>
              <w:docPart w:val="9038ECC294E84B62AFE685D398D615D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EC016A5"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6F2DA210" w14:textId="77777777" w:rsidTr="00D52EE2">
        <w:tblPrEx>
          <w:tblBorders>
            <w:top w:val="single" w:sz="8" w:space="0" w:color="auto"/>
            <w:bottom w:val="single" w:sz="8" w:space="0" w:color="BCBEC0"/>
          </w:tblBorders>
        </w:tblPrEx>
        <w:tc>
          <w:tcPr>
            <w:tcW w:w="1470" w:type="dxa"/>
            <w:vMerge/>
          </w:tcPr>
          <w:p w14:paraId="3CAC60A4" w14:textId="77777777" w:rsidR="00030D68" w:rsidRPr="008B1CF6" w:rsidRDefault="00030D68" w:rsidP="00030D68">
            <w:pPr>
              <w:keepNext/>
              <w:spacing w:after="0" w:line="240" w:lineRule="auto"/>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C045788"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D9EE216"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Cs w:val="22"/>
            </w:rPr>
            <w:id w:val="1972622034"/>
            <w:placeholder>
              <w:docPart w:val="43D9A9360E28438EB7E30D79CB4CA73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23542C21"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Adept</w:t>
                </w:r>
              </w:p>
            </w:tc>
          </w:sdtContent>
        </w:sdt>
      </w:tr>
      <w:tr w:rsidR="00030D68" w:rsidRPr="008B1CF6" w14:paraId="0CDA8BE8" w14:textId="77777777" w:rsidTr="00D52EE2">
        <w:tblPrEx>
          <w:tblBorders>
            <w:top w:val="single" w:sz="8" w:space="0" w:color="auto"/>
            <w:bottom w:val="single" w:sz="8" w:space="0" w:color="BCBEC0"/>
          </w:tblBorders>
        </w:tblPrEx>
        <w:tc>
          <w:tcPr>
            <w:tcW w:w="1470" w:type="dxa"/>
            <w:vMerge/>
            <w:tcBorders>
              <w:bottom w:val="single" w:sz="4" w:space="0" w:color="auto"/>
            </w:tcBorders>
          </w:tcPr>
          <w:p w14:paraId="44AF22DE" w14:textId="77777777" w:rsidR="00030D68" w:rsidRPr="008B1CF6" w:rsidRDefault="00030D68" w:rsidP="00030D68">
            <w:pPr>
              <w:spacing w:after="0" w:line="240" w:lineRule="auto"/>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0DD97D96" w14:textId="77777777" w:rsidR="00030D68" w:rsidRPr="008B1CF6" w:rsidRDefault="00030D68" w:rsidP="00030D68">
            <w:pPr>
              <w:spacing w:before="40" w:after="40" w:line="280" w:lineRule="atLeast"/>
              <w:rPr>
                <w:rFonts w:ascii="Public Sans" w:hAnsi="Public Sans" w:cstheme="minorHAnsi"/>
                <w:szCs w:val="22"/>
              </w:rPr>
            </w:pPr>
            <w:r w:rsidRPr="008B1CF6">
              <w:rPr>
                <w:rFonts w:ascii="Public Sans" w:hAnsi="Public Sans" w:cstheme="minorHAnsi"/>
                <w:szCs w:val="22"/>
              </w:rPr>
              <w:t>Project Management</w:t>
            </w:r>
          </w:p>
        </w:tc>
        <w:tc>
          <w:tcPr>
            <w:tcW w:w="4967" w:type="dxa"/>
            <w:tcBorders>
              <w:top w:val="single" w:sz="4" w:space="0" w:color="D9D9D9" w:themeColor="background1" w:themeShade="D9"/>
              <w:left w:val="nil"/>
              <w:bottom w:val="single" w:sz="4" w:space="0" w:color="auto"/>
              <w:right w:val="nil"/>
            </w:tcBorders>
          </w:tcPr>
          <w:p w14:paraId="6BB39C49"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Understand and apply effective project planning, coordination and control methods</w:t>
            </w:r>
          </w:p>
        </w:tc>
        <w:sdt>
          <w:sdtPr>
            <w:rPr>
              <w:rFonts w:ascii="Public Sans" w:hAnsi="Public Sans" w:cstheme="minorHAnsi"/>
              <w:szCs w:val="22"/>
            </w:rPr>
            <w:id w:val="832174664"/>
            <w:placeholder>
              <w:docPart w:val="6906A4B086DA4119A098C740D1CBD43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47F9095" w14:textId="0E335403" w:rsidR="00030D68" w:rsidRPr="008B1CF6" w:rsidRDefault="00721611"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r w:rsidR="00030D68" w:rsidRPr="008B1CF6" w14:paraId="69015032" w14:textId="77777777" w:rsidTr="00D52EE2">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37360CB6" w14:textId="77777777" w:rsidR="00030D68" w:rsidRPr="008B1CF6" w:rsidRDefault="00030D68" w:rsidP="00030D68">
            <w:pPr>
              <w:keepNext/>
              <w:spacing w:after="0" w:line="240" w:lineRule="auto"/>
              <w:rPr>
                <w:rFonts w:ascii="Public Sans" w:hAnsi="Public Sans" w:cstheme="minorHAnsi"/>
                <w:noProof/>
                <w:szCs w:val="22"/>
                <w:lang w:eastAsia="en-AU"/>
              </w:rPr>
            </w:pPr>
            <w:r w:rsidRPr="008B1CF6">
              <w:rPr>
                <w:rFonts w:ascii="Public Sans" w:hAnsi="Public Sans" w:cstheme="minorHAnsi"/>
                <w:noProof/>
                <w:szCs w:val="22"/>
                <w:lang w:eastAsia="en-AU"/>
              </w:rPr>
              <w:drawing>
                <wp:inline distT="0" distB="0" distL="0" distR="0" wp14:anchorId="25FFFDA6" wp14:editId="57B4F59C">
                  <wp:extent cx="848360" cy="848360"/>
                  <wp:effectExtent l="0" t="0" r="8890" b="8890"/>
                  <wp:docPr id="17" name="Picture 17"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F927C42" w14:textId="77777777" w:rsidR="00030D68" w:rsidRPr="008B1CF6" w:rsidRDefault="00030D68" w:rsidP="00030D68">
            <w:pPr>
              <w:keepNext/>
              <w:spacing w:before="40" w:after="40" w:line="280" w:lineRule="atLeast"/>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21B5B729" w14:textId="77777777" w:rsidR="00030D68" w:rsidRPr="008B1CF6" w:rsidRDefault="00030D68" w:rsidP="00030D68">
            <w:pPr>
              <w:spacing w:after="0" w:line="240" w:lineRule="auto"/>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34068CD" w14:textId="77777777" w:rsidR="00030D68" w:rsidRPr="008B1CF6" w:rsidRDefault="00030D68" w:rsidP="00030D68">
            <w:pPr>
              <w:keepNext/>
              <w:spacing w:before="40" w:after="40" w:line="280" w:lineRule="atLeast"/>
              <w:rPr>
                <w:rFonts w:ascii="Public Sans" w:hAnsi="Public Sans" w:cstheme="minorHAnsi"/>
                <w:szCs w:val="22"/>
              </w:rPr>
            </w:pPr>
          </w:p>
        </w:tc>
      </w:tr>
      <w:tr w:rsidR="00030D68" w:rsidRPr="008B1CF6" w14:paraId="72EEDC7A" w14:textId="77777777" w:rsidTr="00D52EE2">
        <w:tblPrEx>
          <w:tblBorders>
            <w:top w:val="single" w:sz="8" w:space="0" w:color="auto"/>
            <w:bottom w:val="single" w:sz="8" w:space="0" w:color="BCBEC0"/>
          </w:tblBorders>
        </w:tblPrEx>
        <w:trPr>
          <w:cantSplit/>
        </w:trPr>
        <w:tc>
          <w:tcPr>
            <w:tcW w:w="1470" w:type="dxa"/>
            <w:vMerge/>
          </w:tcPr>
          <w:p w14:paraId="726E7231" w14:textId="77777777" w:rsidR="00030D68" w:rsidRPr="008B1CF6" w:rsidRDefault="00030D68" w:rsidP="00030D68">
            <w:pPr>
              <w:keepNext/>
              <w:spacing w:after="0" w:line="240" w:lineRule="auto"/>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21FAE73"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bCs/>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647433F0" w14:textId="77777777" w:rsidR="00030D68" w:rsidRPr="008B1CF6" w:rsidRDefault="00030D68" w:rsidP="00030D68">
            <w:pPr>
              <w:spacing w:after="0" w:line="240" w:lineRule="auto"/>
              <w:rPr>
                <w:rFonts w:ascii="Public Sans" w:hAnsi="Public Sans" w:cstheme="minorHAnsi"/>
                <w:szCs w:val="22"/>
              </w:rPr>
            </w:pPr>
            <w:r w:rsidRPr="008B1CF6">
              <w:rPr>
                <w:rFonts w:ascii="Public Sans" w:hAnsi="Public Sans" w:cstheme="minorHAnsi"/>
                <w:szCs w:val="22"/>
              </w:rPr>
              <w:t>Manage people and resources effectively to achieve public value</w:t>
            </w:r>
          </w:p>
        </w:tc>
        <w:sdt>
          <w:sdtPr>
            <w:rPr>
              <w:rFonts w:ascii="Public Sans" w:hAnsi="Public Sans" w:cstheme="minorHAnsi"/>
              <w:szCs w:val="22"/>
            </w:rPr>
            <w:id w:val="96598149"/>
            <w:placeholder>
              <w:docPart w:val="A86666AD74A44298BDD13A98866968F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8F966F0" w14:textId="77777777" w:rsidR="00030D68" w:rsidRPr="008B1CF6" w:rsidRDefault="00030D68" w:rsidP="00030D68">
                <w:pPr>
                  <w:keepNext/>
                  <w:spacing w:before="40" w:after="40" w:line="280" w:lineRule="atLeast"/>
                  <w:rPr>
                    <w:rFonts w:ascii="Public Sans" w:hAnsi="Public Sans" w:cstheme="minorHAnsi"/>
                    <w:szCs w:val="22"/>
                  </w:rPr>
                </w:pPr>
                <w:r w:rsidRPr="008B1CF6">
                  <w:rPr>
                    <w:rFonts w:ascii="Public Sans" w:hAnsi="Public Sans" w:cstheme="minorHAnsi"/>
                    <w:szCs w:val="22"/>
                  </w:rPr>
                  <w:t>Advanced</w:t>
                </w:r>
              </w:p>
            </w:tc>
          </w:sdtContent>
        </w:sdt>
      </w:tr>
    </w:tbl>
    <w:p w14:paraId="508D259C" w14:textId="77777777" w:rsidR="00030D68" w:rsidRPr="008B1CF6" w:rsidRDefault="00030D68" w:rsidP="00030D68">
      <w:pPr>
        <w:spacing w:after="0" w:line="240" w:lineRule="auto"/>
        <w:rPr>
          <w:rFonts w:ascii="Public Sans" w:hAnsi="Public Sans" w:cs="Arial"/>
        </w:rPr>
      </w:pPr>
    </w:p>
    <w:p w14:paraId="51E8C416" w14:textId="64F6DD94" w:rsidR="00030D68" w:rsidRPr="008B1CF6" w:rsidRDefault="00030D68">
      <w:pPr>
        <w:spacing w:after="0" w:line="240" w:lineRule="auto"/>
        <w:rPr>
          <w:rFonts w:ascii="Public Sans" w:hAnsi="Public Sans" w:cs="Arial"/>
        </w:rPr>
      </w:pPr>
    </w:p>
    <w:p w14:paraId="1D1698AD" w14:textId="77777777" w:rsidR="00F72A32" w:rsidRPr="008B1CF6" w:rsidRDefault="00F72A32" w:rsidP="00F72A32">
      <w:pPr>
        <w:spacing w:after="0" w:line="240" w:lineRule="auto"/>
        <w:rPr>
          <w:rFonts w:ascii="Public Sans" w:hAnsi="Public Sans" w:cstheme="minorHAnsi"/>
          <w:b/>
          <w:szCs w:val="22"/>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0771"/>
      </w:tblGrid>
      <w:tr w:rsidR="00F72A32" w:rsidRPr="008B1CF6" w14:paraId="2474502F" w14:textId="77777777" w:rsidTr="00A63330">
        <w:trPr>
          <w:cnfStyle w:val="100000000000" w:firstRow="1" w:lastRow="0" w:firstColumn="0" w:lastColumn="0" w:oddVBand="0" w:evenVBand="0" w:oddHBand="0" w:evenHBand="0" w:firstRowFirstColumn="0" w:firstRowLastColumn="0" w:lastRowFirstColumn="0" w:lastRowLastColumn="0"/>
        </w:trPr>
        <w:tc>
          <w:tcPr>
            <w:tcW w:w="10771" w:type="dxa"/>
            <w:hideMark/>
          </w:tcPr>
          <w:p w14:paraId="06EBF074" w14:textId="77777777" w:rsidR="00F72A32" w:rsidRPr="008B1CF6" w:rsidRDefault="00F72A32" w:rsidP="00A63330">
            <w:pPr>
              <w:pStyle w:val="TableBullet"/>
              <w:numPr>
                <w:ilvl w:val="0"/>
                <w:numId w:val="0"/>
              </w:numPr>
              <w:tabs>
                <w:tab w:val="left" w:pos="720"/>
              </w:tabs>
              <w:spacing w:line="240" w:lineRule="auto"/>
              <w:jc w:val="both"/>
              <w:rPr>
                <w:rFonts w:ascii="Public Sans" w:hAnsi="Public Sans"/>
                <w:b/>
                <w:bCs/>
                <w:noProof/>
                <w:color w:val="FF0000"/>
                <w:sz w:val="24"/>
                <w:szCs w:val="24"/>
                <w:highlight w:val="yellow"/>
                <w:lang w:eastAsia="en-AU"/>
              </w:rPr>
            </w:pPr>
            <w:r w:rsidRPr="008B1CF6">
              <w:rPr>
                <w:rFonts w:ascii="Public Sans" w:hAnsi="Public Sans"/>
                <w:b/>
                <w:bCs/>
                <w:color w:val="FFFFFF" w:themeColor="background1"/>
                <w:sz w:val="24"/>
                <w:szCs w:val="24"/>
              </w:rPr>
              <w:t>Complementary Occupation Specific Capabilities</w:t>
            </w:r>
          </w:p>
        </w:tc>
      </w:tr>
    </w:tbl>
    <w:tbl>
      <w:tblPr>
        <w:tblStyle w:val="PSCPurple"/>
        <w:tblW w:w="10689" w:type="dxa"/>
        <w:tblLayout w:type="fixed"/>
        <w:tblLook w:val="04A0" w:firstRow="1" w:lastRow="0" w:firstColumn="1" w:lastColumn="0" w:noHBand="0" w:noVBand="1"/>
        <w:tblCaption w:val="PSC_FocusCapabilityFrameworkTable"/>
      </w:tblPr>
      <w:tblGrid>
        <w:gridCol w:w="1470"/>
        <w:gridCol w:w="2409"/>
        <w:gridCol w:w="4967"/>
        <w:gridCol w:w="1843"/>
      </w:tblGrid>
      <w:tr w:rsidR="00F72A32" w:rsidRPr="008B1CF6" w14:paraId="2D97E387" w14:textId="77777777" w:rsidTr="00A63330">
        <w:trPr>
          <w:cnfStyle w:val="100000000000" w:firstRow="1" w:lastRow="0" w:firstColumn="0" w:lastColumn="0" w:oddVBand="0" w:evenVBand="0" w:oddHBand="0" w:evenHBand="0" w:firstRowFirstColumn="0" w:firstRowLastColumn="0" w:lastRowFirstColumn="0" w:lastRowLastColumn="0"/>
          <w:cantSplit/>
        </w:trPr>
        <w:tc>
          <w:tcPr>
            <w:tcW w:w="1470" w:type="dxa"/>
            <w:vMerge w:val="restart"/>
            <w:tcBorders>
              <w:top w:val="single" w:sz="4" w:space="0" w:color="auto"/>
            </w:tcBorders>
            <w:shd w:val="clear" w:color="auto" w:fill="F2F2F2" w:themeFill="background1" w:themeFillShade="F2"/>
          </w:tcPr>
          <w:p w14:paraId="1D34DDD6" w14:textId="77777777" w:rsidR="00F72A32" w:rsidRPr="008B1CF6" w:rsidRDefault="00F72A32" w:rsidP="00A63330">
            <w:pPr>
              <w:keepNext/>
              <w:rPr>
                <w:rFonts w:ascii="Public Sans" w:hAnsi="Public Sans"/>
                <w:noProof/>
                <w:szCs w:val="22"/>
                <w:lang w:eastAsia="en-AU"/>
              </w:rPr>
            </w:pPr>
            <w:r w:rsidRPr="008B1CF6">
              <w:rPr>
                <w:rFonts w:ascii="Public Sans" w:hAnsi="Public Sans"/>
                <w:noProof/>
                <w:szCs w:val="22"/>
                <w:lang w:eastAsia="en-AU"/>
              </w:rPr>
              <w:drawing>
                <wp:inline distT="0" distB="0" distL="0" distR="0" wp14:anchorId="152633B6" wp14:editId="759A8AA1">
                  <wp:extent cx="848360" cy="848360"/>
                  <wp:effectExtent l="0" t="0" r="8890" b="8890"/>
                  <wp:docPr id="10" name="Picture 10" descr="Legal logo"/>
                  <wp:cNvGraphicFramePr/>
                  <a:graphic xmlns:a="http://schemas.openxmlformats.org/drawingml/2006/main">
                    <a:graphicData uri="http://schemas.openxmlformats.org/drawingml/2006/picture">
                      <pic:pic xmlns:pic="http://schemas.openxmlformats.org/drawingml/2006/picture">
                        <pic:nvPicPr>
                          <pic:cNvPr id="27" name="Picture 27" descr="Legal logo"/>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02F2E84" w14:textId="77777777" w:rsidR="00F72A32" w:rsidRPr="008B1CF6" w:rsidRDefault="00F72A32" w:rsidP="00A63330">
            <w:pPr>
              <w:pStyle w:val="TableText"/>
              <w:keepNext/>
              <w:rPr>
                <w:rFonts w:ascii="Public Sans" w:hAnsi="Public Sans"/>
                <w:b/>
                <w:sz w:val="22"/>
                <w:szCs w:val="22"/>
              </w:rPr>
            </w:pPr>
            <w:r w:rsidRPr="008B1CF6">
              <w:rPr>
                <w:rFonts w:ascii="Public Sans" w:hAnsi="Public Sans"/>
                <w:b/>
                <w:sz w:val="22"/>
                <w:szCs w:val="22"/>
              </w:rPr>
              <w:t>Capability name</w:t>
            </w:r>
          </w:p>
          <w:p w14:paraId="7D183446" w14:textId="77777777" w:rsidR="00F72A32" w:rsidRPr="008B1CF6" w:rsidRDefault="00F72A32" w:rsidP="00A63330">
            <w:pPr>
              <w:pStyle w:val="TableText"/>
              <w:keepNext/>
              <w:rPr>
                <w:rFonts w:ascii="Public Sans" w:hAnsi="Public Sans"/>
                <w:b/>
                <w:sz w:val="22"/>
                <w:szCs w:val="22"/>
              </w:rPr>
            </w:pPr>
          </w:p>
        </w:tc>
        <w:tc>
          <w:tcPr>
            <w:tcW w:w="4967" w:type="dxa"/>
            <w:tcBorders>
              <w:top w:val="single" w:sz="4" w:space="0" w:color="auto"/>
              <w:bottom w:val="nil"/>
            </w:tcBorders>
            <w:shd w:val="clear" w:color="auto" w:fill="F2F2F2" w:themeFill="background1" w:themeFillShade="F2"/>
          </w:tcPr>
          <w:p w14:paraId="249A55B8" w14:textId="77777777" w:rsidR="00F72A32" w:rsidRPr="008B1CF6" w:rsidRDefault="00F72A32" w:rsidP="00A63330">
            <w:pPr>
              <w:pStyle w:val="TableText"/>
              <w:keepNext/>
              <w:rPr>
                <w:rFonts w:ascii="Public Sans" w:hAnsi="Public Sans"/>
                <w:b/>
                <w:sz w:val="22"/>
                <w:szCs w:val="22"/>
              </w:rPr>
            </w:pPr>
            <w:r w:rsidRPr="008B1CF6">
              <w:rPr>
                <w:rFonts w:ascii="Public Sans" w:hAnsi="Public Sans"/>
                <w:b/>
                <w:sz w:val="22"/>
                <w:szCs w:val="22"/>
              </w:rPr>
              <w:t>Description</w:t>
            </w:r>
          </w:p>
          <w:p w14:paraId="4FD74A16" w14:textId="77777777" w:rsidR="00F72A32" w:rsidRPr="008B1CF6" w:rsidRDefault="00F72A32" w:rsidP="00A63330">
            <w:pPr>
              <w:pStyle w:val="TableBullet"/>
              <w:numPr>
                <w:ilvl w:val="0"/>
                <w:numId w:val="0"/>
              </w:numPr>
              <w:rPr>
                <w:rFonts w:ascii="Public Sans" w:hAnsi="Public Sans"/>
                <w:b/>
                <w:sz w:val="22"/>
                <w:szCs w:val="22"/>
              </w:rPr>
            </w:pPr>
          </w:p>
        </w:tc>
        <w:tc>
          <w:tcPr>
            <w:tcW w:w="1843" w:type="dxa"/>
            <w:tcBorders>
              <w:top w:val="single" w:sz="4" w:space="0" w:color="auto"/>
              <w:bottom w:val="nil"/>
            </w:tcBorders>
            <w:shd w:val="clear" w:color="auto" w:fill="F2F2F2" w:themeFill="background1" w:themeFillShade="F2"/>
          </w:tcPr>
          <w:p w14:paraId="11420A75" w14:textId="77777777" w:rsidR="00F72A32" w:rsidRPr="008B1CF6" w:rsidRDefault="00F72A32" w:rsidP="00A63330">
            <w:pPr>
              <w:pStyle w:val="TableBullet"/>
              <w:numPr>
                <w:ilvl w:val="0"/>
                <w:numId w:val="0"/>
              </w:numPr>
              <w:tabs>
                <w:tab w:val="left" w:pos="720"/>
              </w:tabs>
              <w:jc w:val="both"/>
              <w:rPr>
                <w:rFonts w:ascii="Public Sans" w:hAnsi="Public Sans"/>
                <w:b/>
                <w:sz w:val="22"/>
                <w:szCs w:val="22"/>
              </w:rPr>
            </w:pPr>
            <w:r w:rsidRPr="008B1CF6">
              <w:rPr>
                <w:rFonts w:ascii="Public Sans" w:hAnsi="Public Sans"/>
                <w:b/>
                <w:sz w:val="22"/>
                <w:szCs w:val="22"/>
              </w:rPr>
              <w:t>Level</w:t>
            </w:r>
          </w:p>
        </w:tc>
      </w:tr>
      <w:tr w:rsidR="004B2EE3" w:rsidRPr="008B1CF6" w14:paraId="23222174" w14:textId="77777777" w:rsidTr="00A63330">
        <w:trPr>
          <w:cantSplit/>
        </w:trPr>
        <w:tc>
          <w:tcPr>
            <w:tcW w:w="1470" w:type="dxa"/>
            <w:vMerge/>
          </w:tcPr>
          <w:p w14:paraId="37006E49" w14:textId="77777777" w:rsidR="004B2EE3" w:rsidRPr="008B1CF6" w:rsidRDefault="004B2EE3" w:rsidP="004B2EE3">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2693C1DC" w14:textId="21474263" w:rsidR="004B2EE3" w:rsidRPr="008B1CF6" w:rsidRDefault="004B2EE3" w:rsidP="004B2EE3">
            <w:pPr>
              <w:pStyle w:val="TableText"/>
              <w:keepNext/>
              <w:rPr>
                <w:rFonts w:ascii="Public Sans" w:hAnsi="Public Sans"/>
                <w:b/>
                <w:sz w:val="22"/>
                <w:szCs w:val="22"/>
              </w:rPr>
            </w:pPr>
            <w:r w:rsidRPr="008B1CF6">
              <w:rPr>
                <w:rFonts w:ascii="Public Sans" w:hAnsi="Public Sans" w:cstheme="minorHAnsi"/>
                <w:sz w:val="22"/>
                <w:szCs w:val="22"/>
              </w:rPr>
              <w:t>Legal Research</w:t>
            </w:r>
          </w:p>
        </w:tc>
        <w:tc>
          <w:tcPr>
            <w:tcW w:w="4967" w:type="dxa"/>
            <w:tcBorders>
              <w:top w:val="nil"/>
              <w:bottom w:val="single" w:sz="4" w:space="0" w:color="D9D9D9" w:themeColor="background1" w:themeShade="D9"/>
            </w:tcBorders>
          </w:tcPr>
          <w:p w14:paraId="0D80D883" w14:textId="0AFCF8DD" w:rsidR="004B2EE3" w:rsidRPr="008B1CF6" w:rsidRDefault="004B2EE3" w:rsidP="004B2EE3">
            <w:pPr>
              <w:pStyle w:val="TableBullet"/>
              <w:numPr>
                <w:ilvl w:val="0"/>
                <w:numId w:val="0"/>
              </w:numPr>
              <w:rPr>
                <w:rFonts w:ascii="Public Sans" w:hAnsi="Public Sans"/>
                <w:b/>
                <w:sz w:val="22"/>
                <w:szCs w:val="22"/>
              </w:rPr>
            </w:pPr>
            <w:r w:rsidRPr="008B1CF6">
              <w:rPr>
                <w:rFonts w:ascii="Public Sans" w:hAnsi="Public Sans" w:cstheme="minorHAnsi"/>
                <w:sz w:val="22"/>
                <w:szCs w:val="22"/>
              </w:rPr>
              <w:t>Undertake legal research</w:t>
            </w:r>
          </w:p>
        </w:tc>
        <w:tc>
          <w:tcPr>
            <w:tcW w:w="1843" w:type="dxa"/>
            <w:tcBorders>
              <w:top w:val="nil"/>
              <w:bottom w:val="single" w:sz="4" w:space="0" w:color="D9D9D9" w:themeColor="background1" w:themeShade="D9"/>
            </w:tcBorders>
          </w:tcPr>
          <w:p w14:paraId="22FEC6EC" w14:textId="0BB9E3C9" w:rsidR="004B2EE3" w:rsidRPr="008B1CF6" w:rsidRDefault="004B2EE3" w:rsidP="004B2EE3">
            <w:pPr>
              <w:pStyle w:val="TableBullet"/>
              <w:numPr>
                <w:ilvl w:val="0"/>
                <w:numId w:val="0"/>
              </w:numPr>
              <w:tabs>
                <w:tab w:val="left" w:pos="720"/>
              </w:tabs>
              <w:jc w:val="both"/>
              <w:rPr>
                <w:rFonts w:ascii="Public Sans" w:hAnsi="Public Sans"/>
                <w:b/>
                <w:sz w:val="22"/>
                <w:szCs w:val="22"/>
              </w:rPr>
            </w:pPr>
            <w:r w:rsidRPr="008B1CF6">
              <w:rPr>
                <w:rFonts w:ascii="Public Sans" w:hAnsi="Public Sans" w:cstheme="minorHAnsi"/>
                <w:sz w:val="22"/>
                <w:szCs w:val="22"/>
              </w:rPr>
              <w:t>Level 4</w:t>
            </w:r>
          </w:p>
        </w:tc>
      </w:tr>
      <w:tr w:rsidR="004B2EE3" w:rsidRPr="008B1CF6" w14:paraId="230F2606" w14:textId="77777777" w:rsidTr="00A63330">
        <w:trPr>
          <w:cantSplit/>
        </w:trPr>
        <w:tc>
          <w:tcPr>
            <w:tcW w:w="1470" w:type="dxa"/>
            <w:vMerge/>
          </w:tcPr>
          <w:p w14:paraId="6F6A312F" w14:textId="77777777" w:rsidR="004B2EE3" w:rsidRPr="008B1CF6" w:rsidRDefault="004B2EE3" w:rsidP="004B2EE3">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7EDD44E" w14:textId="45CA98A5" w:rsidR="004B2EE3" w:rsidRPr="008B1CF6" w:rsidRDefault="004B2EE3" w:rsidP="004B2EE3">
            <w:pPr>
              <w:pStyle w:val="TableText"/>
              <w:keepNext/>
              <w:rPr>
                <w:rFonts w:ascii="Public Sans" w:hAnsi="Public Sans" w:cstheme="minorHAnsi"/>
                <w:sz w:val="22"/>
                <w:szCs w:val="22"/>
              </w:rPr>
            </w:pPr>
            <w:r w:rsidRPr="008B1CF6">
              <w:rPr>
                <w:rFonts w:ascii="Public Sans" w:hAnsi="Public Sans" w:cstheme="minorHAnsi"/>
                <w:sz w:val="22"/>
                <w:szCs w:val="22"/>
              </w:rPr>
              <w:t>Legislative Development and Drafting</w:t>
            </w:r>
          </w:p>
        </w:tc>
        <w:tc>
          <w:tcPr>
            <w:tcW w:w="4967" w:type="dxa"/>
            <w:tcBorders>
              <w:top w:val="single" w:sz="4" w:space="0" w:color="D9D9D9" w:themeColor="background1" w:themeShade="D9"/>
              <w:bottom w:val="single" w:sz="4" w:space="0" w:color="D9D9D9" w:themeColor="background1" w:themeShade="D9"/>
            </w:tcBorders>
          </w:tcPr>
          <w:p w14:paraId="59F69478" w14:textId="25E3EE8F" w:rsidR="004B2EE3" w:rsidRPr="008B1CF6" w:rsidRDefault="004B2EE3" w:rsidP="004B2EE3">
            <w:pPr>
              <w:rPr>
                <w:rFonts w:ascii="Public Sans" w:hAnsi="Public Sans" w:cstheme="minorHAnsi"/>
                <w:szCs w:val="22"/>
              </w:rPr>
            </w:pPr>
            <w:r w:rsidRPr="008B1CF6">
              <w:rPr>
                <w:rFonts w:ascii="Public Sans" w:eastAsia="Calibri" w:hAnsi="Public Sans" w:cstheme="minorHAnsi"/>
                <w:szCs w:val="22"/>
              </w:rPr>
              <w:t>Provide legal services relating to legislative proposals and legislative drafting</w:t>
            </w:r>
          </w:p>
        </w:tc>
        <w:tc>
          <w:tcPr>
            <w:tcW w:w="1843" w:type="dxa"/>
            <w:tcBorders>
              <w:top w:val="single" w:sz="4" w:space="0" w:color="D9D9D9" w:themeColor="background1" w:themeShade="D9"/>
              <w:bottom w:val="single" w:sz="4" w:space="0" w:color="D9D9D9" w:themeColor="background1" w:themeShade="D9"/>
            </w:tcBorders>
          </w:tcPr>
          <w:p w14:paraId="63AA9B27" w14:textId="75645914" w:rsidR="004B2EE3" w:rsidRPr="008B1CF6" w:rsidRDefault="004B2EE3" w:rsidP="004B2EE3">
            <w:pPr>
              <w:pStyle w:val="TableText"/>
              <w:keepNext/>
              <w:rPr>
                <w:rFonts w:ascii="Public Sans" w:hAnsi="Public Sans" w:cstheme="minorHAnsi"/>
                <w:sz w:val="22"/>
                <w:szCs w:val="22"/>
              </w:rPr>
            </w:pPr>
            <w:r w:rsidRPr="008B1CF6">
              <w:rPr>
                <w:rFonts w:ascii="Public Sans" w:hAnsi="Public Sans" w:cstheme="minorHAnsi"/>
                <w:sz w:val="22"/>
                <w:szCs w:val="22"/>
              </w:rPr>
              <w:t>Level 3</w:t>
            </w:r>
          </w:p>
        </w:tc>
      </w:tr>
      <w:tr w:rsidR="004B2EE3" w:rsidRPr="008B1CF6" w14:paraId="3DAE77A3" w14:textId="77777777" w:rsidTr="00A63330">
        <w:trPr>
          <w:cantSplit/>
        </w:trPr>
        <w:tc>
          <w:tcPr>
            <w:tcW w:w="1470" w:type="dxa"/>
            <w:vMerge/>
          </w:tcPr>
          <w:p w14:paraId="17327B84" w14:textId="77777777" w:rsidR="004B2EE3" w:rsidRPr="008B1CF6" w:rsidRDefault="004B2EE3" w:rsidP="004B2EE3">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6B92770" w14:textId="084ED321" w:rsidR="004B2EE3" w:rsidRPr="008B1CF6" w:rsidRDefault="004B2EE3" w:rsidP="004B2EE3">
            <w:pPr>
              <w:pStyle w:val="TableText"/>
              <w:keepNext/>
              <w:rPr>
                <w:rFonts w:ascii="Public Sans" w:hAnsi="Public Sans" w:cstheme="minorHAnsi"/>
                <w:sz w:val="22"/>
                <w:szCs w:val="22"/>
              </w:rPr>
            </w:pPr>
            <w:r w:rsidRPr="008B1CF6">
              <w:rPr>
                <w:rFonts w:ascii="Public Sans" w:hAnsi="Public Sans" w:cstheme="minorHAnsi"/>
                <w:sz w:val="22"/>
                <w:szCs w:val="22"/>
              </w:rPr>
              <w:t>Prosecution</w:t>
            </w:r>
          </w:p>
        </w:tc>
        <w:tc>
          <w:tcPr>
            <w:tcW w:w="4967" w:type="dxa"/>
            <w:tcBorders>
              <w:top w:val="single" w:sz="4" w:space="0" w:color="D9D9D9" w:themeColor="background1" w:themeShade="D9"/>
              <w:bottom w:val="single" w:sz="4" w:space="0" w:color="D9D9D9" w:themeColor="background1" w:themeShade="D9"/>
            </w:tcBorders>
          </w:tcPr>
          <w:p w14:paraId="082A94CF" w14:textId="3443A73C" w:rsidR="004B2EE3" w:rsidRPr="008B1CF6" w:rsidRDefault="004B2EE3" w:rsidP="004B2EE3">
            <w:pPr>
              <w:rPr>
                <w:rFonts w:ascii="Public Sans" w:hAnsi="Public Sans" w:cstheme="minorHAnsi"/>
                <w:szCs w:val="22"/>
              </w:rPr>
            </w:pPr>
            <w:r w:rsidRPr="008B1CF6">
              <w:rPr>
                <w:rFonts w:ascii="Public Sans" w:hAnsi="Public Sans" w:cstheme="minorHAnsi"/>
                <w:szCs w:val="22"/>
              </w:rPr>
              <w:t>Prosecute offences in accordance with the relevant law, conduct rules and prosecutorial standards</w:t>
            </w:r>
          </w:p>
        </w:tc>
        <w:tc>
          <w:tcPr>
            <w:tcW w:w="1843" w:type="dxa"/>
            <w:tcBorders>
              <w:top w:val="single" w:sz="4" w:space="0" w:color="D9D9D9" w:themeColor="background1" w:themeShade="D9"/>
              <w:bottom w:val="single" w:sz="4" w:space="0" w:color="D9D9D9" w:themeColor="background1" w:themeShade="D9"/>
            </w:tcBorders>
          </w:tcPr>
          <w:p w14:paraId="649B879D" w14:textId="25BA43E9" w:rsidR="004B2EE3" w:rsidRPr="008B1CF6" w:rsidRDefault="004B2EE3" w:rsidP="004B2EE3">
            <w:pPr>
              <w:pStyle w:val="TableText"/>
              <w:keepNext/>
              <w:rPr>
                <w:rFonts w:ascii="Public Sans" w:hAnsi="Public Sans" w:cstheme="minorHAnsi"/>
                <w:sz w:val="22"/>
                <w:szCs w:val="22"/>
              </w:rPr>
            </w:pPr>
            <w:r w:rsidRPr="008B1CF6">
              <w:rPr>
                <w:rFonts w:ascii="Public Sans" w:hAnsi="Public Sans" w:cstheme="minorHAnsi"/>
                <w:sz w:val="22"/>
                <w:szCs w:val="22"/>
              </w:rPr>
              <w:t>Level 3</w:t>
            </w:r>
          </w:p>
        </w:tc>
      </w:tr>
    </w:tbl>
    <w:p w14:paraId="709B695E" w14:textId="77777777" w:rsidR="00F72A32" w:rsidRPr="008B1CF6" w:rsidRDefault="00F72A32" w:rsidP="00F72A32">
      <w:pPr>
        <w:rPr>
          <w:rFonts w:ascii="Public Sans" w:hAnsi="Public Sans" w:cstheme="minorHAnsi"/>
          <w:szCs w:val="22"/>
        </w:rPr>
      </w:pPr>
      <w:r w:rsidRPr="008B1CF6">
        <w:rPr>
          <w:rFonts w:ascii="Public Sans" w:hAnsi="Public Sans"/>
          <w:noProof/>
          <w:szCs w:val="22"/>
        </w:rPr>
        <w:br w:type="textWrapping" w:clear="all"/>
      </w:r>
    </w:p>
    <w:p w14:paraId="58E32530" w14:textId="77777777" w:rsidR="00F72A32" w:rsidRPr="008B1CF6" w:rsidRDefault="00F72A32">
      <w:pPr>
        <w:spacing w:after="0" w:line="240" w:lineRule="auto"/>
        <w:rPr>
          <w:rFonts w:ascii="Public Sans" w:hAnsi="Public Sans" w:cs="Arial"/>
        </w:rPr>
      </w:pPr>
    </w:p>
    <w:sectPr w:rsidR="00F72A32" w:rsidRPr="008B1CF6" w:rsidSect="003A342B">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FF7E" w14:textId="77777777" w:rsidR="0029123A" w:rsidRDefault="0029123A" w:rsidP="00AC273D">
      <w:pPr>
        <w:spacing w:after="0" w:line="240" w:lineRule="auto"/>
      </w:pPr>
      <w:r>
        <w:separator/>
      </w:r>
    </w:p>
  </w:endnote>
  <w:endnote w:type="continuationSeparator" w:id="0">
    <w:p w14:paraId="6C827651" w14:textId="77777777" w:rsidR="0029123A" w:rsidRDefault="0029123A"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EA47A4" w14:paraId="33616BF8" w14:textId="77777777" w:rsidTr="00CD6BA6">
      <w:tc>
        <w:tcPr>
          <w:tcW w:w="9709" w:type="dxa"/>
          <w:vAlign w:val="bottom"/>
        </w:tcPr>
        <w:p w14:paraId="476862E4" w14:textId="77777777" w:rsidR="00EA47A4" w:rsidRPr="00051237" w:rsidRDefault="00EA47A4" w:rsidP="00A063C8">
          <w:pPr>
            <w:pStyle w:val="Footer"/>
            <w:tabs>
              <w:tab w:val="clear" w:pos="4513"/>
              <w:tab w:val="center" w:pos="5315"/>
            </w:tabs>
          </w:pPr>
          <w:bookmarkStart w:id="2" w:name="Footer_Title"/>
          <w:bookmarkEnd w:id="2"/>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9</w:t>
          </w:r>
          <w:r>
            <w:rPr>
              <w:noProof/>
              <w:lang w:eastAsia="en-AU"/>
            </w:rPr>
            <w:fldChar w:fldCharType="end"/>
          </w:r>
        </w:p>
      </w:tc>
      <w:tc>
        <w:tcPr>
          <w:tcW w:w="851" w:type="dxa"/>
        </w:tcPr>
        <w:p w14:paraId="0AA692FB" w14:textId="77777777" w:rsidR="00EA47A4" w:rsidRDefault="00EA47A4" w:rsidP="00CD6BA6">
          <w:pPr>
            <w:pStyle w:val="Footer"/>
            <w:jc w:val="right"/>
          </w:pPr>
        </w:p>
      </w:tc>
    </w:tr>
  </w:tbl>
  <w:p w14:paraId="3B77D931" w14:textId="77777777" w:rsidR="00EA47A4" w:rsidRPr="001E2B26" w:rsidRDefault="00EA47A4"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EA47A4" w14:paraId="15330C84" w14:textId="77777777" w:rsidTr="00732229">
      <w:tc>
        <w:tcPr>
          <w:tcW w:w="9709" w:type="dxa"/>
          <w:vAlign w:val="bottom"/>
        </w:tcPr>
        <w:p w14:paraId="39536BD7" w14:textId="77777777" w:rsidR="00EA47A4" w:rsidRPr="00051237" w:rsidRDefault="00EA47A4"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1</w:t>
          </w:r>
          <w:r>
            <w:rPr>
              <w:noProof/>
              <w:lang w:eastAsia="en-AU"/>
            </w:rPr>
            <w:fldChar w:fldCharType="end"/>
          </w:r>
        </w:p>
      </w:tc>
      <w:tc>
        <w:tcPr>
          <w:tcW w:w="851" w:type="dxa"/>
        </w:tcPr>
        <w:p w14:paraId="505CDA64" w14:textId="77777777" w:rsidR="00EA47A4" w:rsidRDefault="00EA47A4" w:rsidP="00732229">
          <w:pPr>
            <w:pStyle w:val="Footer"/>
            <w:jc w:val="right"/>
          </w:pPr>
        </w:p>
      </w:tc>
    </w:tr>
  </w:tbl>
  <w:p w14:paraId="6273E3CA" w14:textId="77777777" w:rsidR="00EA47A4" w:rsidRDefault="00EA4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FB80" w14:textId="77777777" w:rsidR="0029123A" w:rsidRDefault="0029123A" w:rsidP="00AC273D">
      <w:pPr>
        <w:spacing w:after="0" w:line="240" w:lineRule="auto"/>
      </w:pPr>
      <w:r>
        <w:separator/>
      </w:r>
    </w:p>
  </w:footnote>
  <w:footnote w:type="continuationSeparator" w:id="0">
    <w:p w14:paraId="2B44DEAB" w14:textId="77777777" w:rsidR="0029123A" w:rsidRDefault="0029123A"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67BE" w14:textId="54C69D49" w:rsidR="00EA47A4" w:rsidRDefault="00023744"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04998FD3" wp14:editId="6489B03F">
          <wp:simplePos x="0" y="0"/>
          <wp:positionH relativeFrom="page">
            <wp:posOffset>6147045</wp:posOffset>
          </wp:positionH>
          <wp:positionV relativeFrom="page">
            <wp:posOffset>456760</wp:posOffset>
          </wp:positionV>
          <wp:extent cx="681176" cy="726342"/>
          <wp:effectExtent l="0" t="0" r="5080" b="0"/>
          <wp:wrapNone/>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176" cy="726342"/>
                  </a:xfrm>
                  <a:prstGeom prst="rect">
                    <a:avLst/>
                  </a:prstGeom>
                </pic:spPr>
              </pic:pic>
            </a:graphicData>
          </a:graphic>
          <wp14:sizeRelH relativeFrom="page">
            <wp14:pctWidth>0</wp14:pctWidth>
          </wp14:sizeRelH>
          <wp14:sizeRelV relativeFrom="page">
            <wp14:pctHeight>0</wp14:pctHeight>
          </wp14:sizeRelV>
        </wp:anchor>
      </w:drawing>
    </w:r>
    <w:r w:rsidR="00EA47A4">
      <w:t xml:space="preserve">                     </w:t>
    </w:r>
  </w:p>
  <w:p w14:paraId="3B0BA7FC" w14:textId="162CEE82" w:rsidR="00EA47A4" w:rsidRDefault="00EA47A4"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EA47A4" w:rsidRPr="001E66E0" w14:paraId="071CB5FE" w14:textId="77777777" w:rsidTr="001E66E0">
      <w:trPr>
        <w:cnfStyle w:val="100000000000" w:firstRow="1" w:lastRow="0" w:firstColumn="0" w:lastColumn="0" w:oddVBand="0" w:evenVBand="0" w:oddHBand="0" w:evenHBand="0" w:firstRowFirstColumn="0" w:firstRowLastColumn="0" w:lastRowFirstColumn="0" w:lastRowLastColumn="0"/>
        <w:trHeight w:hRule="exact" w:val="1191"/>
      </w:trPr>
      <w:tc>
        <w:tcPr>
          <w:tcW w:w="5000" w:type="pct"/>
          <w:noWrap/>
        </w:tcPr>
        <w:p w14:paraId="49383EB8" w14:textId="77777777" w:rsidR="00EA47A4" w:rsidRPr="001E66E0" w:rsidRDefault="00EA47A4" w:rsidP="00E832CB">
          <w:pPr>
            <w:pStyle w:val="TitleSub"/>
            <w:spacing w:after="0"/>
            <w:rPr>
              <w:rFonts w:ascii="Arial" w:hAnsi="Arial" w:cs="Arial"/>
              <w:b/>
              <w:sz w:val="40"/>
            </w:rPr>
          </w:pPr>
          <w:r w:rsidRPr="001E66E0">
            <w:rPr>
              <w:rFonts w:ascii="Arial" w:hAnsi="Arial" w:cs="Arial"/>
              <w:b/>
              <w:sz w:val="40"/>
            </w:rPr>
            <w:t xml:space="preserve">ROLE DESCRIPTION </w:t>
          </w:r>
        </w:p>
        <w:p w14:paraId="0DCB0053" w14:textId="77777777" w:rsidR="00EA47A4" w:rsidRPr="001E66E0" w:rsidRDefault="00EA47A4" w:rsidP="000C65EE">
          <w:pPr>
            <w:pStyle w:val="Title"/>
            <w:spacing w:line="240" w:lineRule="auto"/>
            <w:rPr>
              <w:rFonts w:ascii="Arial" w:hAnsi="Arial" w:cs="Arial"/>
              <w:sz w:val="12"/>
            </w:rPr>
          </w:pPr>
          <w:bookmarkStart w:id="3" w:name="Title"/>
          <w:bookmarkEnd w:id="3"/>
          <w:r w:rsidRPr="001E66E0">
            <w:rPr>
              <w:rFonts w:ascii="Arial" w:hAnsi="Arial" w:cs="Arial"/>
              <w:sz w:val="12"/>
            </w:rPr>
            <w:t xml:space="preserve"> </w:t>
          </w:r>
        </w:p>
        <w:p w14:paraId="3FD81DB6" w14:textId="77777777" w:rsidR="00EA47A4" w:rsidRPr="001E66E0" w:rsidRDefault="00EA47A4" w:rsidP="000C65EE">
          <w:pPr>
            <w:pStyle w:val="Title"/>
            <w:spacing w:line="240" w:lineRule="auto"/>
            <w:rPr>
              <w:rFonts w:ascii="Arial" w:hAnsi="Arial" w:cs="Arial"/>
              <w:sz w:val="12"/>
            </w:rPr>
          </w:pPr>
        </w:p>
        <w:p w14:paraId="60F89360" w14:textId="77777777" w:rsidR="00EA47A4" w:rsidRDefault="00EA47A4" w:rsidP="000C65EE">
          <w:pPr>
            <w:pStyle w:val="Title"/>
            <w:spacing w:line="240" w:lineRule="auto"/>
            <w:rPr>
              <w:rFonts w:asciiTheme="majorHAnsi" w:hAnsiTheme="majorHAnsi" w:cstheme="majorHAnsi"/>
              <w:color w:val="auto"/>
              <w:sz w:val="32"/>
              <w:szCs w:val="32"/>
            </w:rPr>
          </w:pPr>
          <w:r w:rsidRPr="00702FF9">
            <w:rPr>
              <w:rFonts w:asciiTheme="majorHAnsi" w:hAnsiTheme="majorHAnsi" w:cstheme="majorHAnsi"/>
              <w:color w:val="auto"/>
              <w:sz w:val="32"/>
              <w:szCs w:val="32"/>
            </w:rPr>
            <w:t xml:space="preserve">Director </w:t>
          </w:r>
          <w:r>
            <w:rPr>
              <w:rFonts w:asciiTheme="majorHAnsi" w:hAnsiTheme="majorHAnsi" w:cstheme="majorHAnsi"/>
              <w:color w:val="auto"/>
              <w:sz w:val="32"/>
              <w:szCs w:val="32"/>
            </w:rPr>
            <w:t>a</w:t>
          </w:r>
          <w:r w:rsidRPr="00702FF9">
            <w:rPr>
              <w:rFonts w:asciiTheme="majorHAnsi" w:hAnsiTheme="majorHAnsi" w:cstheme="majorHAnsi"/>
              <w:color w:val="auto"/>
              <w:sz w:val="32"/>
              <w:szCs w:val="32"/>
            </w:rPr>
            <w:t>nd Assistant Principal Registrar, Superior Courts</w:t>
          </w:r>
        </w:p>
        <w:p w14:paraId="3B3AB5EC" w14:textId="77777777" w:rsidR="00EA47A4" w:rsidRPr="00805C33" w:rsidRDefault="00EA47A4" w:rsidP="00805C33">
          <w:pPr>
            <w:rPr>
              <w:lang w:val="en-US"/>
            </w:rPr>
          </w:pPr>
        </w:p>
        <w:permStart w:id="1671574883" w:edGrp="everyone"/>
        <w:p w14:paraId="5661F5BA" w14:textId="77777777" w:rsidR="00EA47A4" w:rsidRPr="001E66E0" w:rsidRDefault="00EA47A4" w:rsidP="00E832CB">
          <w:pPr>
            <w:pStyle w:val="TitleSub"/>
            <w:spacing w:after="0" w:line="240" w:lineRule="auto"/>
            <w:jc w:val="right"/>
            <w:rPr>
              <w:rFonts w:ascii="Arial" w:hAnsi="Arial" w:cs="Arial"/>
              <w:sz w:val="22"/>
              <w:szCs w:val="22"/>
            </w:rPr>
          </w:pPr>
          <w:r w:rsidRPr="001E66E0">
            <w:rPr>
              <w:rFonts w:ascii="Arial" w:hAnsi="Arial" w:cs="Arial"/>
              <w:vanish/>
              <w:sz w:val="22"/>
              <w:szCs w:val="22"/>
            </w:rPr>
            <w:fldChar w:fldCharType="begin"/>
          </w:r>
          <w:r w:rsidRPr="001E66E0">
            <w:rPr>
              <w:rFonts w:ascii="Arial" w:hAnsi="Arial" w:cs="Arial"/>
              <w:vanish/>
              <w:sz w:val="22"/>
              <w:szCs w:val="22"/>
            </w:rPr>
            <w:instrText xml:space="preserve"> MACROBUTTON  InsertPicture Double click here to insert logo.</w:instrText>
          </w:r>
          <w:r w:rsidRPr="001E66E0">
            <w:rPr>
              <w:rFonts w:ascii="Arial" w:hAnsi="Arial" w:cs="Arial"/>
              <w:vanish/>
              <w:sz w:val="22"/>
              <w:szCs w:val="22"/>
            </w:rPr>
            <w:fldChar w:fldCharType="end"/>
          </w:r>
          <w:permEnd w:id="1671574883"/>
        </w:p>
      </w:tc>
    </w:tr>
  </w:tbl>
  <w:p w14:paraId="737E8772" w14:textId="023D7B59" w:rsidR="00EA47A4" w:rsidRPr="001E66E0" w:rsidRDefault="00EA47A4" w:rsidP="00697E93">
    <w:pP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25.6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DA71AE"/>
    <w:multiLevelType w:val="hybridMultilevel"/>
    <w:tmpl w:val="A580CC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5200521">
    <w:abstractNumId w:val="9"/>
  </w:num>
  <w:num w:numId="2" w16cid:durableId="1396464566">
    <w:abstractNumId w:val="7"/>
  </w:num>
  <w:num w:numId="3" w16cid:durableId="591353075">
    <w:abstractNumId w:val="6"/>
  </w:num>
  <w:num w:numId="4" w16cid:durableId="387338120">
    <w:abstractNumId w:val="5"/>
  </w:num>
  <w:num w:numId="5" w16cid:durableId="888110976">
    <w:abstractNumId w:val="4"/>
  </w:num>
  <w:num w:numId="6" w16cid:durableId="467012006">
    <w:abstractNumId w:val="8"/>
  </w:num>
  <w:num w:numId="7" w16cid:durableId="1867476437">
    <w:abstractNumId w:val="3"/>
  </w:num>
  <w:num w:numId="8" w16cid:durableId="1849320528">
    <w:abstractNumId w:val="2"/>
  </w:num>
  <w:num w:numId="9" w16cid:durableId="2054883221">
    <w:abstractNumId w:val="1"/>
  </w:num>
  <w:num w:numId="10" w16cid:durableId="1198859044">
    <w:abstractNumId w:val="0"/>
  </w:num>
  <w:num w:numId="11" w16cid:durableId="2090036036">
    <w:abstractNumId w:val="11"/>
  </w:num>
  <w:num w:numId="12" w16cid:durableId="1857383549">
    <w:abstractNumId w:val="22"/>
  </w:num>
  <w:num w:numId="13" w16cid:durableId="496770197">
    <w:abstractNumId w:val="22"/>
  </w:num>
  <w:num w:numId="14" w16cid:durableId="19547467">
    <w:abstractNumId w:val="13"/>
  </w:num>
  <w:num w:numId="15" w16cid:durableId="285544625">
    <w:abstractNumId w:val="13"/>
  </w:num>
  <w:num w:numId="16" w16cid:durableId="238253576">
    <w:abstractNumId w:val="13"/>
  </w:num>
  <w:num w:numId="17" w16cid:durableId="1104107880">
    <w:abstractNumId w:val="13"/>
  </w:num>
  <w:num w:numId="18" w16cid:durableId="449517039">
    <w:abstractNumId w:val="13"/>
  </w:num>
  <w:num w:numId="19" w16cid:durableId="120850742">
    <w:abstractNumId w:val="13"/>
  </w:num>
  <w:num w:numId="20" w16cid:durableId="191771145">
    <w:abstractNumId w:val="23"/>
  </w:num>
  <w:num w:numId="21" w16cid:durableId="562066064">
    <w:abstractNumId w:val="20"/>
  </w:num>
  <w:num w:numId="22" w16cid:durableId="153879092">
    <w:abstractNumId w:val="18"/>
  </w:num>
  <w:num w:numId="23" w16cid:durableId="2132043043">
    <w:abstractNumId w:val="19"/>
  </w:num>
  <w:num w:numId="24" w16cid:durableId="1285193579">
    <w:abstractNumId w:val="15"/>
  </w:num>
  <w:num w:numId="25" w16cid:durableId="1489595278">
    <w:abstractNumId w:val="24"/>
  </w:num>
  <w:num w:numId="26" w16cid:durableId="1037700747">
    <w:abstractNumId w:val="9"/>
  </w:num>
  <w:num w:numId="27" w16cid:durableId="1751078530">
    <w:abstractNumId w:val="21"/>
  </w:num>
  <w:num w:numId="28" w16cid:durableId="946036051">
    <w:abstractNumId w:val="16"/>
  </w:num>
  <w:num w:numId="29" w16cid:durableId="1122069910">
    <w:abstractNumId w:val="14"/>
  </w:num>
  <w:num w:numId="30" w16cid:durableId="801996594">
    <w:abstractNumId w:val="12"/>
  </w:num>
  <w:num w:numId="31" w16cid:durableId="1250041059">
    <w:abstractNumId w:val="9"/>
  </w:num>
  <w:num w:numId="32" w16cid:durableId="310673285">
    <w:abstractNumId w:val="17"/>
  </w:num>
  <w:num w:numId="33" w16cid:durableId="1780640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13PFyWvHlzHbhuqlOz8uE2nMBsMv0h1HGVZ0t9QkfqgJvE5B494WJ8pnxxcxyC7PZEkw1Wg2oKzQVMf1Lblyg==" w:salt="FrAmjgqbBJigtOmJc3vw5g=="/>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33"/>
    <w:rsid w:val="000004A7"/>
    <w:rsid w:val="0000267F"/>
    <w:rsid w:val="000044A0"/>
    <w:rsid w:val="00006660"/>
    <w:rsid w:val="00014206"/>
    <w:rsid w:val="00014E98"/>
    <w:rsid w:val="000151A9"/>
    <w:rsid w:val="00021A26"/>
    <w:rsid w:val="000227A8"/>
    <w:rsid w:val="00023744"/>
    <w:rsid w:val="0002436B"/>
    <w:rsid w:val="00025270"/>
    <w:rsid w:val="0002595E"/>
    <w:rsid w:val="0002637C"/>
    <w:rsid w:val="0003077E"/>
    <w:rsid w:val="000308E0"/>
    <w:rsid w:val="00030D68"/>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7C3"/>
    <w:rsid w:val="00073F1E"/>
    <w:rsid w:val="000758AE"/>
    <w:rsid w:val="00077B45"/>
    <w:rsid w:val="00077DFF"/>
    <w:rsid w:val="00082A35"/>
    <w:rsid w:val="0008547B"/>
    <w:rsid w:val="00086B43"/>
    <w:rsid w:val="0009116E"/>
    <w:rsid w:val="000915AA"/>
    <w:rsid w:val="00092A99"/>
    <w:rsid w:val="00094538"/>
    <w:rsid w:val="000967EB"/>
    <w:rsid w:val="000975C1"/>
    <w:rsid w:val="00097C7F"/>
    <w:rsid w:val="00097CC6"/>
    <w:rsid w:val="000A16AF"/>
    <w:rsid w:val="000A1832"/>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E7641"/>
    <w:rsid w:val="000F21C2"/>
    <w:rsid w:val="000F2309"/>
    <w:rsid w:val="000F2402"/>
    <w:rsid w:val="000F3527"/>
    <w:rsid w:val="000F3CB4"/>
    <w:rsid w:val="000F3D4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46388"/>
    <w:rsid w:val="0015040C"/>
    <w:rsid w:val="001612BF"/>
    <w:rsid w:val="00162154"/>
    <w:rsid w:val="00162275"/>
    <w:rsid w:val="001708F4"/>
    <w:rsid w:val="0017252E"/>
    <w:rsid w:val="00172A22"/>
    <w:rsid w:val="00172C7F"/>
    <w:rsid w:val="00174755"/>
    <w:rsid w:val="00176E9A"/>
    <w:rsid w:val="001772A3"/>
    <w:rsid w:val="00186C79"/>
    <w:rsid w:val="00186F6C"/>
    <w:rsid w:val="001875A4"/>
    <w:rsid w:val="00187715"/>
    <w:rsid w:val="00190510"/>
    <w:rsid w:val="00191F05"/>
    <w:rsid w:val="00194335"/>
    <w:rsid w:val="001945A8"/>
    <w:rsid w:val="00197236"/>
    <w:rsid w:val="00197F8F"/>
    <w:rsid w:val="001A1637"/>
    <w:rsid w:val="001A5B5E"/>
    <w:rsid w:val="001A704A"/>
    <w:rsid w:val="001B0AF4"/>
    <w:rsid w:val="001C0122"/>
    <w:rsid w:val="001C0E34"/>
    <w:rsid w:val="001C2591"/>
    <w:rsid w:val="001C406E"/>
    <w:rsid w:val="001C752D"/>
    <w:rsid w:val="001D0E26"/>
    <w:rsid w:val="001D0E78"/>
    <w:rsid w:val="001D133A"/>
    <w:rsid w:val="001D1BB5"/>
    <w:rsid w:val="001D73CA"/>
    <w:rsid w:val="001E0F3B"/>
    <w:rsid w:val="001E2B26"/>
    <w:rsid w:val="001E66E0"/>
    <w:rsid w:val="001E7CA4"/>
    <w:rsid w:val="001F0E79"/>
    <w:rsid w:val="001F3B8E"/>
    <w:rsid w:val="001F57B6"/>
    <w:rsid w:val="001F5938"/>
    <w:rsid w:val="001F618B"/>
    <w:rsid w:val="00202CD4"/>
    <w:rsid w:val="00203E4E"/>
    <w:rsid w:val="00206F8D"/>
    <w:rsid w:val="00213ED7"/>
    <w:rsid w:val="0021606E"/>
    <w:rsid w:val="00222CC4"/>
    <w:rsid w:val="002231CD"/>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123A"/>
    <w:rsid w:val="00294E56"/>
    <w:rsid w:val="00295F96"/>
    <w:rsid w:val="00297CDF"/>
    <w:rsid w:val="002A18A8"/>
    <w:rsid w:val="002A4149"/>
    <w:rsid w:val="002A41AA"/>
    <w:rsid w:val="002A60C2"/>
    <w:rsid w:val="002B27D4"/>
    <w:rsid w:val="002B2C5E"/>
    <w:rsid w:val="002C34F4"/>
    <w:rsid w:val="002C39EE"/>
    <w:rsid w:val="002C458A"/>
    <w:rsid w:val="002D0251"/>
    <w:rsid w:val="002D4902"/>
    <w:rsid w:val="002D4927"/>
    <w:rsid w:val="002D4DE0"/>
    <w:rsid w:val="002D6639"/>
    <w:rsid w:val="002E09D3"/>
    <w:rsid w:val="002E11BF"/>
    <w:rsid w:val="002E3146"/>
    <w:rsid w:val="002F07BE"/>
    <w:rsid w:val="002F27EE"/>
    <w:rsid w:val="002F2D26"/>
    <w:rsid w:val="003000E8"/>
    <w:rsid w:val="00300340"/>
    <w:rsid w:val="003008BA"/>
    <w:rsid w:val="0030097A"/>
    <w:rsid w:val="00301B57"/>
    <w:rsid w:val="00302551"/>
    <w:rsid w:val="00311DC7"/>
    <w:rsid w:val="00313043"/>
    <w:rsid w:val="00321089"/>
    <w:rsid w:val="003212A3"/>
    <w:rsid w:val="00322B27"/>
    <w:rsid w:val="00324761"/>
    <w:rsid w:val="00324F2D"/>
    <w:rsid w:val="00326B2D"/>
    <w:rsid w:val="00327C35"/>
    <w:rsid w:val="00330331"/>
    <w:rsid w:val="00334ED9"/>
    <w:rsid w:val="0033590A"/>
    <w:rsid w:val="0034249E"/>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17373"/>
    <w:rsid w:val="00420B1A"/>
    <w:rsid w:val="00420BB7"/>
    <w:rsid w:val="00420C6F"/>
    <w:rsid w:val="004219E2"/>
    <w:rsid w:val="0042454A"/>
    <w:rsid w:val="0042535F"/>
    <w:rsid w:val="0042689D"/>
    <w:rsid w:val="0042783B"/>
    <w:rsid w:val="004344E3"/>
    <w:rsid w:val="00440335"/>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6377E"/>
    <w:rsid w:val="00470173"/>
    <w:rsid w:val="00470D08"/>
    <w:rsid w:val="0047302C"/>
    <w:rsid w:val="004738F6"/>
    <w:rsid w:val="004750B2"/>
    <w:rsid w:val="00475E3E"/>
    <w:rsid w:val="00477577"/>
    <w:rsid w:val="004779F0"/>
    <w:rsid w:val="004809D1"/>
    <w:rsid w:val="00480F73"/>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2EE3"/>
    <w:rsid w:val="004B492C"/>
    <w:rsid w:val="004B57AD"/>
    <w:rsid w:val="004B5D0E"/>
    <w:rsid w:val="004B7C08"/>
    <w:rsid w:val="004C2EF6"/>
    <w:rsid w:val="004D1E56"/>
    <w:rsid w:val="004D3800"/>
    <w:rsid w:val="004D751F"/>
    <w:rsid w:val="004E0CEE"/>
    <w:rsid w:val="004E3295"/>
    <w:rsid w:val="004E4265"/>
    <w:rsid w:val="004E4642"/>
    <w:rsid w:val="004E5FCD"/>
    <w:rsid w:val="004E69AC"/>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50F8"/>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0725"/>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A728B"/>
    <w:rsid w:val="005B06A8"/>
    <w:rsid w:val="005B124F"/>
    <w:rsid w:val="005B4A86"/>
    <w:rsid w:val="005B4FC3"/>
    <w:rsid w:val="005B5229"/>
    <w:rsid w:val="005B740B"/>
    <w:rsid w:val="005C08E4"/>
    <w:rsid w:val="005C0EBF"/>
    <w:rsid w:val="005C191D"/>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074E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0A32"/>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B7FFB"/>
    <w:rsid w:val="006C1B5E"/>
    <w:rsid w:val="006C1FBD"/>
    <w:rsid w:val="006C3E53"/>
    <w:rsid w:val="006C5A71"/>
    <w:rsid w:val="006C6EB0"/>
    <w:rsid w:val="006E0883"/>
    <w:rsid w:val="006E41E5"/>
    <w:rsid w:val="006E6D2F"/>
    <w:rsid w:val="006F2A07"/>
    <w:rsid w:val="006F390F"/>
    <w:rsid w:val="006F3F00"/>
    <w:rsid w:val="006F481B"/>
    <w:rsid w:val="006F5DBB"/>
    <w:rsid w:val="006F6540"/>
    <w:rsid w:val="006F7045"/>
    <w:rsid w:val="00700589"/>
    <w:rsid w:val="0070281C"/>
    <w:rsid w:val="00713D4E"/>
    <w:rsid w:val="0071562A"/>
    <w:rsid w:val="0071682A"/>
    <w:rsid w:val="00716FD1"/>
    <w:rsid w:val="00720A00"/>
    <w:rsid w:val="00720F93"/>
    <w:rsid w:val="00721496"/>
    <w:rsid w:val="00721611"/>
    <w:rsid w:val="00721689"/>
    <w:rsid w:val="00722A51"/>
    <w:rsid w:val="00723D21"/>
    <w:rsid w:val="00723E6D"/>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4F6B"/>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7F58CC"/>
    <w:rsid w:val="0080079A"/>
    <w:rsid w:val="00802CD3"/>
    <w:rsid w:val="00803E47"/>
    <w:rsid w:val="00803EEA"/>
    <w:rsid w:val="0080529D"/>
    <w:rsid w:val="00805C33"/>
    <w:rsid w:val="008151FF"/>
    <w:rsid w:val="0081582E"/>
    <w:rsid w:val="008209B6"/>
    <w:rsid w:val="00821C4C"/>
    <w:rsid w:val="00822DC8"/>
    <w:rsid w:val="008245C3"/>
    <w:rsid w:val="00824DB4"/>
    <w:rsid w:val="00825325"/>
    <w:rsid w:val="0082615A"/>
    <w:rsid w:val="008325D5"/>
    <w:rsid w:val="00833B64"/>
    <w:rsid w:val="00835D24"/>
    <w:rsid w:val="008365F5"/>
    <w:rsid w:val="00836D4C"/>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0553"/>
    <w:rsid w:val="00883378"/>
    <w:rsid w:val="00884050"/>
    <w:rsid w:val="008913F9"/>
    <w:rsid w:val="008913FE"/>
    <w:rsid w:val="0089204C"/>
    <w:rsid w:val="0089412A"/>
    <w:rsid w:val="008978C5"/>
    <w:rsid w:val="008A043A"/>
    <w:rsid w:val="008A09CE"/>
    <w:rsid w:val="008A33F0"/>
    <w:rsid w:val="008A5136"/>
    <w:rsid w:val="008A77FC"/>
    <w:rsid w:val="008B1CF6"/>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06"/>
    <w:rsid w:val="008F12FD"/>
    <w:rsid w:val="008F52FC"/>
    <w:rsid w:val="00901B0A"/>
    <w:rsid w:val="00903694"/>
    <w:rsid w:val="00907DE1"/>
    <w:rsid w:val="00911600"/>
    <w:rsid w:val="0091160E"/>
    <w:rsid w:val="009119DA"/>
    <w:rsid w:val="00911BF2"/>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5DDA"/>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33D"/>
    <w:rsid w:val="00A03790"/>
    <w:rsid w:val="00A057BA"/>
    <w:rsid w:val="00A06383"/>
    <w:rsid w:val="00A063C8"/>
    <w:rsid w:val="00A0734A"/>
    <w:rsid w:val="00A120AB"/>
    <w:rsid w:val="00A14552"/>
    <w:rsid w:val="00A15A4C"/>
    <w:rsid w:val="00A15CDB"/>
    <w:rsid w:val="00A168A3"/>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2DE"/>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5FF4"/>
    <w:rsid w:val="00B46439"/>
    <w:rsid w:val="00B50ED5"/>
    <w:rsid w:val="00B520FC"/>
    <w:rsid w:val="00B545C7"/>
    <w:rsid w:val="00B547F2"/>
    <w:rsid w:val="00B55B6C"/>
    <w:rsid w:val="00B56682"/>
    <w:rsid w:val="00B566F3"/>
    <w:rsid w:val="00B6088A"/>
    <w:rsid w:val="00B6308A"/>
    <w:rsid w:val="00B6379C"/>
    <w:rsid w:val="00B65238"/>
    <w:rsid w:val="00B65548"/>
    <w:rsid w:val="00B67CEE"/>
    <w:rsid w:val="00B72341"/>
    <w:rsid w:val="00B75918"/>
    <w:rsid w:val="00B80BAB"/>
    <w:rsid w:val="00B81F30"/>
    <w:rsid w:val="00B86A39"/>
    <w:rsid w:val="00B92BA2"/>
    <w:rsid w:val="00B92D96"/>
    <w:rsid w:val="00B93AF5"/>
    <w:rsid w:val="00B9405B"/>
    <w:rsid w:val="00BA04C3"/>
    <w:rsid w:val="00BA2FCB"/>
    <w:rsid w:val="00BA36ED"/>
    <w:rsid w:val="00BA3815"/>
    <w:rsid w:val="00BA5174"/>
    <w:rsid w:val="00BA7757"/>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1DAE"/>
    <w:rsid w:val="00C526D7"/>
    <w:rsid w:val="00C550B9"/>
    <w:rsid w:val="00C5547A"/>
    <w:rsid w:val="00C5778D"/>
    <w:rsid w:val="00C57959"/>
    <w:rsid w:val="00C60EB8"/>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321"/>
    <w:rsid w:val="00CB75E5"/>
    <w:rsid w:val="00CC2CD9"/>
    <w:rsid w:val="00CC2CE8"/>
    <w:rsid w:val="00CC47BF"/>
    <w:rsid w:val="00CD3717"/>
    <w:rsid w:val="00CD5CA8"/>
    <w:rsid w:val="00CD6BA6"/>
    <w:rsid w:val="00CE17D7"/>
    <w:rsid w:val="00CE5915"/>
    <w:rsid w:val="00CE5B1D"/>
    <w:rsid w:val="00CF008C"/>
    <w:rsid w:val="00CF0299"/>
    <w:rsid w:val="00CF102E"/>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19EC"/>
    <w:rsid w:val="00D4689C"/>
    <w:rsid w:val="00D46DFC"/>
    <w:rsid w:val="00D50088"/>
    <w:rsid w:val="00D52EE2"/>
    <w:rsid w:val="00D53775"/>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894"/>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0950"/>
    <w:rsid w:val="00E5168D"/>
    <w:rsid w:val="00E531A9"/>
    <w:rsid w:val="00E565D0"/>
    <w:rsid w:val="00E568AC"/>
    <w:rsid w:val="00E62C1F"/>
    <w:rsid w:val="00E62FC0"/>
    <w:rsid w:val="00E6495E"/>
    <w:rsid w:val="00E64B29"/>
    <w:rsid w:val="00E66B27"/>
    <w:rsid w:val="00E708E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47A4"/>
    <w:rsid w:val="00EA5D0F"/>
    <w:rsid w:val="00EA78BF"/>
    <w:rsid w:val="00EB0DFC"/>
    <w:rsid w:val="00EB277F"/>
    <w:rsid w:val="00EB3E90"/>
    <w:rsid w:val="00EB431F"/>
    <w:rsid w:val="00EB64B8"/>
    <w:rsid w:val="00EB65E5"/>
    <w:rsid w:val="00EB76CB"/>
    <w:rsid w:val="00EB7F9D"/>
    <w:rsid w:val="00EC02B4"/>
    <w:rsid w:val="00EC20DC"/>
    <w:rsid w:val="00EC237B"/>
    <w:rsid w:val="00EC6D77"/>
    <w:rsid w:val="00ED00C2"/>
    <w:rsid w:val="00ED118C"/>
    <w:rsid w:val="00ED368F"/>
    <w:rsid w:val="00ED472C"/>
    <w:rsid w:val="00ED649D"/>
    <w:rsid w:val="00EE35DA"/>
    <w:rsid w:val="00EE5DE4"/>
    <w:rsid w:val="00EE75EC"/>
    <w:rsid w:val="00EF0BF3"/>
    <w:rsid w:val="00EF2E79"/>
    <w:rsid w:val="00EF4164"/>
    <w:rsid w:val="00EF4821"/>
    <w:rsid w:val="00EF5BA6"/>
    <w:rsid w:val="00EF6A76"/>
    <w:rsid w:val="00F01BFE"/>
    <w:rsid w:val="00F035CC"/>
    <w:rsid w:val="00F0671B"/>
    <w:rsid w:val="00F06811"/>
    <w:rsid w:val="00F06934"/>
    <w:rsid w:val="00F1031C"/>
    <w:rsid w:val="00F12900"/>
    <w:rsid w:val="00F12E9D"/>
    <w:rsid w:val="00F14555"/>
    <w:rsid w:val="00F1584F"/>
    <w:rsid w:val="00F15866"/>
    <w:rsid w:val="00F15E5E"/>
    <w:rsid w:val="00F1771D"/>
    <w:rsid w:val="00F2621E"/>
    <w:rsid w:val="00F26622"/>
    <w:rsid w:val="00F26A4D"/>
    <w:rsid w:val="00F26F92"/>
    <w:rsid w:val="00F309A5"/>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165F"/>
    <w:rsid w:val="00F72A32"/>
    <w:rsid w:val="00F72BA5"/>
    <w:rsid w:val="00F749A4"/>
    <w:rsid w:val="00F74BFF"/>
    <w:rsid w:val="00F75EF9"/>
    <w:rsid w:val="00F82237"/>
    <w:rsid w:val="00F83022"/>
    <w:rsid w:val="00F83A7A"/>
    <w:rsid w:val="00F84AE8"/>
    <w:rsid w:val="00F84D18"/>
    <w:rsid w:val="00F8592D"/>
    <w:rsid w:val="00F86FBC"/>
    <w:rsid w:val="00F94FA4"/>
    <w:rsid w:val="00F9774A"/>
    <w:rsid w:val="00FA1399"/>
    <w:rsid w:val="00FA2AC1"/>
    <w:rsid w:val="00FA3A77"/>
    <w:rsid w:val="00FA6C84"/>
    <w:rsid w:val="00FA7304"/>
    <w:rsid w:val="00FB0070"/>
    <w:rsid w:val="00FB048D"/>
    <w:rsid w:val="00FB0C83"/>
    <w:rsid w:val="00FB1347"/>
    <w:rsid w:val="00FC050C"/>
    <w:rsid w:val="00FC1BDC"/>
    <w:rsid w:val="00FC2FCD"/>
    <w:rsid w:val="00FC3181"/>
    <w:rsid w:val="00FC41C4"/>
    <w:rsid w:val="00FC5613"/>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0B24B79"/>
  <w15:docId w15:val="{BD6463C0-EDAE-4BC2-8A06-3CE379DA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 w:qFormat="1"/>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A32"/>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0"/>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table" w:customStyle="1" w:styleId="PSCPurple1">
    <w:name w:val="PSC_Purple1"/>
    <w:basedOn w:val="TableNormal"/>
    <w:uiPriority w:val="99"/>
    <w:rsid w:val="00805C33"/>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table" w:customStyle="1" w:styleId="PSCPurple2">
    <w:name w:val="PSC_Purple2"/>
    <w:basedOn w:val="TableNormal"/>
    <w:uiPriority w:val="99"/>
    <w:rsid w:val="00030D68"/>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styleId="Revision">
    <w:name w:val="Revision"/>
    <w:hidden/>
    <w:uiPriority w:val="99"/>
    <w:semiHidden/>
    <w:rsid w:val="00836D4C"/>
    <w:rPr>
      <w:rFonts w:ascii="Georgia" w:hAnsi="Georgia"/>
      <w:sz w:val="22"/>
    </w:rPr>
  </w:style>
  <w:style w:type="character" w:styleId="UnresolvedMention">
    <w:name w:val="Unresolved Mention"/>
    <w:basedOn w:val="DefaultParagraphFont"/>
    <w:uiPriority w:val="99"/>
    <w:semiHidden/>
    <w:unhideWhenUsed/>
    <w:rsid w:val="0019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39559680">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j.nsw.gov.au"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sc.nsw.gov.au/workforce-management/capability-framework/occupation-specific-capability-sets/legal-capability-set"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sc.nsw.gov.au/workforce-management/capability-framework/the-capability-framework"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BDDA1CF266449395A2E9E6B82CACAE"/>
        <w:category>
          <w:name w:val="General"/>
          <w:gallery w:val="placeholder"/>
        </w:category>
        <w:types>
          <w:type w:val="bbPlcHdr"/>
        </w:types>
        <w:behaviors>
          <w:behavior w:val="content"/>
        </w:behaviors>
        <w:guid w:val="{660449C7-56DC-47BB-91C9-B6E0C375CCCA}"/>
      </w:docPartPr>
      <w:docPartBody>
        <w:p w:rsidR="00B97CFC" w:rsidRDefault="0054137B" w:rsidP="0054137B">
          <w:pPr>
            <w:pStyle w:val="E6BDDA1CF266449395A2E9E6B82CACAE"/>
          </w:pPr>
          <w:r w:rsidRPr="00FE4FE6">
            <w:rPr>
              <w:rStyle w:val="PlaceholderText"/>
            </w:rPr>
            <w:t>Choose an item.</w:t>
          </w:r>
        </w:p>
      </w:docPartBody>
    </w:docPart>
    <w:docPart>
      <w:docPartPr>
        <w:name w:val="35A31ADCDCE54460AB11A2F341CFBE29"/>
        <w:category>
          <w:name w:val="General"/>
          <w:gallery w:val="placeholder"/>
        </w:category>
        <w:types>
          <w:type w:val="bbPlcHdr"/>
        </w:types>
        <w:behaviors>
          <w:behavior w:val="content"/>
        </w:behaviors>
        <w:guid w:val="{372FA4C7-1FDB-4804-9C03-D45B55178130}"/>
      </w:docPartPr>
      <w:docPartBody>
        <w:p w:rsidR="00B97CFC" w:rsidRDefault="0054137B" w:rsidP="0054137B">
          <w:pPr>
            <w:pStyle w:val="35A31ADCDCE54460AB11A2F341CFBE29"/>
          </w:pPr>
          <w:r w:rsidRPr="00FE4FE6">
            <w:rPr>
              <w:rStyle w:val="PlaceholderText"/>
            </w:rPr>
            <w:t>Choose an item.</w:t>
          </w:r>
        </w:p>
      </w:docPartBody>
    </w:docPart>
    <w:docPart>
      <w:docPartPr>
        <w:name w:val="6FF0B83E0E1A4433BC08AF26765C01AD"/>
        <w:category>
          <w:name w:val="General"/>
          <w:gallery w:val="placeholder"/>
        </w:category>
        <w:types>
          <w:type w:val="bbPlcHdr"/>
        </w:types>
        <w:behaviors>
          <w:behavior w:val="content"/>
        </w:behaviors>
        <w:guid w:val="{3B4B2AB6-DB68-45EC-9FA5-82C7846690E5}"/>
      </w:docPartPr>
      <w:docPartBody>
        <w:p w:rsidR="00B97CFC" w:rsidRDefault="0054137B" w:rsidP="0054137B">
          <w:pPr>
            <w:pStyle w:val="6FF0B83E0E1A4433BC08AF26765C01AD"/>
          </w:pPr>
          <w:r w:rsidRPr="00FE4FE6">
            <w:rPr>
              <w:rStyle w:val="PlaceholderText"/>
            </w:rPr>
            <w:t>Choose an item.</w:t>
          </w:r>
        </w:p>
      </w:docPartBody>
    </w:docPart>
    <w:docPart>
      <w:docPartPr>
        <w:name w:val="30E97D148C624ABBB481053760FA3008"/>
        <w:category>
          <w:name w:val="General"/>
          <w:gallery w:val="placeholder"/>
        </w:category>
        <w:types>
          <w:type w:val="bbPlcHdr"/>
        </w:types>
        <w:behaviors>
          <w:behavior w:val="content"/>
        </w:behaviors>
        <w:guid w:val="{533D7911-2655-4BB7-AFFF-BEE88627E7AE}"/>
      </w:docPartPr>
      <w:docPartBody>
        <w:p w:rsidR="00B97CFC" w:rsidRDefault="0054137B" w:rsidP="0054137B">
          <w:pPr>
            <w:pStyle w:val="30E97D148C624ABBB481053760FA3008"/>
          </w:pPr>
          <w:r w:rsidRPr="00FE4FE6">
            <w:rPr>
              <w:rStyle w:val="PlaceholderText"/>
            </w:rPr>
            <w:t>Choose an item.</w:t>
          </w:r>
        </w:p>
      </w:docPartBody>
    </w:docPart>
    <w:docPart>
      <w:docPartPr>
        <w:name w:val="2A51BE2C36734B4BAB6C57F7680C38D5"/>
        <w:category>
          <w:name w:val="General"/>
          <w:gallery w:val="placeholder"/>
        </w:category>
        <w:types>
          <w:type w:val="bbPlcHdr"/>
        </w:types>
        <w:behaviors>
          <w:behavior w:val="content"/>
        </w:behaviors>
        <w:guid w:val="{D957E98F-E8CB-4DA9-9CB4-286EE784520B}"/>
      </w:docPartPr>
      <w:docPartBody>
        <w:p w:rsidR="00B97CFC" w:rsidRDefault="0054137B" w:rsidP="0054137B">
          <w:pPr>
            <w:pStyle w:val="2A51BE2C36734B4BAB6C57F7680C38D5"/>
          </w:pPr>
          <w:r w:rsidRPr="00FE4FE6">
            <w:rPr>
              <w:rStyle w:val="PlaceholderText"/>
            </w:rPr>
            <w:t>Choose an item.</w:t>
          </w:r>
        </w:p>
      </w:docPartBody>
    </w:docPart>
    <w:docPart>
      <w:docPartPr>
        <w:name w:val="9DDD2F748D7F4D5EA5AD7151D098F3A5"/>
        <w:category>
          <w:name w:val="General"/>
          <w:gallery w:val="placeholder"/>
        </w:category>
        <w:types>
          <w:type w:val="bbPlcHdr"/>
        </w:types>
        <w:behaviors>
          <w:behavior w:val="content"/>
        </w:behaviors>
        <w:guid w:val="{2507507F-157D-434F-B852-49A5E294DA1E}"/>
      </w:docPartPr>
      <w:docPartBody>
        <w:p w:rsidR="00B97CFC" w:rsidRDefault="0054137B" w:rsidP="0054137B">
          <w:pPr>
            <w:pStyle w:val="9DDD2F748D7F4D5EA5AD7151D098F3A5"/>
          </w:pPr>
          <w:r w:rsidRPr="00FE4FE6">
            <w:rPr>
              <w:rStyle w:val="PlaceholderText"/>
            </w:rPr>
            <w:t>Choose an item.</w:t>
          </w:r>
        </w:p>
      </w:docPartBody>
    </w:docPart>
    <w:docPart>
      <w:docPartPr>
        <w:name w:val="9038ECC294E84B62AFE685D398D615D6"/>
        <w:category>
          <w:name w:val="General"/>
          <w:gallery w:val="placeholder"/>
        </w:category>
        <w:types>
          <w:type w:val="bbPlcHdr"/>
        </w:types>
        <w:behaviors>
          <w:behavior w:val="content"/>
        </w:behaviors>
        <w:guid w:val="{B27E242A-4680-4173-AB18-8DE78243C179}"/>
      </w:docPartPr>
      <w:docPartBody>
        <w:p w:rsidR="00B97CFC" w:rsidRDefault="0054137B" w:rsidP="0054137B">
          <w:pPr>
            <w:pStyle w:val="9038ECC294E84B62AFE685D398D615D6"/>
          </w:pPr>
          <w:r w:rsidRPr="00FE4FE6">
            <w:rPr>
              <w:rStyle w:val="PlaceholderText"/>
            </w:rPr>
            <w:t>Choose an item.</w:t>
          </w:r>
        </w:p>
      </w:docPartBody>
    </w:docPart>
    <w:docPart>
      <w:docPartPr>
        <w:name w:val="43D9A9360E28438EB7E30D79CB4CA734"/>
        <w:category>
          <w:name w:val="General"/>
          <w:gallery w:val="placeholder"/>
        </w:category>
        <w:types>
          <w:type w:val="bbPlcHdr"/>
        </w:types>
        <w:behaviors>
          <w:behavior w:val="content"/>
        </w:behaviors>
        <w:guid w:val="{16345124-4030-4E03-BC60-D4934A7136DB}"/>
      </w:docPartPr>
      <w:docPartBody>
        <w:p w:rsidR="00B97CFC" w:rsidRDefault="0054137B" w:rsidP="0054137B">
          <w:pPr>
            <w:pStyle w:val="43D9A9360E28438EB7E30D79CB4CA734"/>
          </w:pPr>
          <w:r w:rsidRPr="00FE4FE6">
            <w:rPr>
              <w:rStyle w:val="PlaceholderText"/>
            </w:rPr>
            <w:t>Choose an item.</w:t>
          </w:r>
        </w:p>
      </w:docPartBody>
    </w:docPart>
    <w:docPart>
      <w:docPartPr>
        <w:name w:val="6906A4B086DA4119A098C740D1CBD43F"/>
        <w:category>
          <w:name w:val="General"/>
          <w:gallery w:val="placeholder"/>
        </w:category>
        <w:types>
          <w:type w:val="bbPlcHdr"/>
        </w:types>
        <w:behaviors>
          <w:behavior w:val="content"/>
        </w:behaviors>
        <w:guid w:val="{926C8E9F-A8ED-4021-B151-A09F14B3E855}"/>
      </w:docPartPr>
      <w:docPartBody>
        <w:p w:rsidR="00B97CFC" w:rsidRDefault="0054137B" w:rsidP="0054137B">
          <w:pPr>
            <w:pStyle w:val="6906A4B086DA4119A098C740D1CBD43F"/>
          </w:pPr>
          <w:r w:rsidRPr="00FE4FE6">
            <w:rPr>
              <w:rStyle w:val="PlaceholderText"/>
            </w:rPr>
            <w:t>Choose an item.</w:t>
          </w:r>
        </w:p>
      </w:docPartBody>
    </w:docPart>
    <w:docPart>
      <w:docPartPr>
        <w:name w:val="A86666AD74A44298BDD13A98866968FF"/>
        <w:category>
          <w:name w:val="General"/>
          <w:gallery w:val="placeholder"/>
        </w:category>
        <w:types>
          <w:type w:val="bbPlcHdr"/>
        </w:types>
        <w:behaviors>
          <w:behavior w:val="content"/>
        </w:behaviors>
        <w:guid w:val="{E3D43B5F-9374-4A0A-9023-EF5368BA1EF2}"/>
      </w:docPartPr>
      <w:docPartBody>
        <w:p w:rsidR="00B97CFC" w:rsidRDefault="0054137B" w:rsidP="0054137B">
          <w:pPr>
            <w:pStyle w:val="A86666AD74A44298BDD13A98866968FF"/>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7B"/>
    <w:rsid w:val="0000040B"/>
    <w:rsid w:val="00071C6E"/>
    <w:rsid w:val="00384BBD"/>
    <w:rsid w:val="003F7A3A"/>
    <w:rsid w:val="00417373"/>
    <w:rsid w:val="00420BB7"/>
    <w:rsid w:val="004254A9"/>
    <w:rsid w:val="004E6B7D"/>
    <w:rsid w:val="0054137B"/>
    <w:rsid w:val="00560725"/>
    <w:rsid w:val="008B1A77"/>
    <w:rsid w:val="00B45FF4"/>
    <w:rsid w:val="00B97CFC"/>
    <w:rsid w:val="00C51DAE"/>
    <w:rsid w:val="00E7040C"/>
    <w:rsid w:val="00F86FBC"/>
    <w:rsid w:val="00FB0C83"/>
    <w:rsid w:val="00FC56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00040B"/>
    <w:rPr>
      <w:rFonts w:asciiTheme="minorHAnsi" w:hAnsiTheme="minorHAnsi"/>
      <w:color w:val="808080"/>
    </w:rPr>
  </w:style>
  <w:style w:type="paragraph" w:customStyle="1" w:styleId="E6BDDA1CF266449395A2E9E6B82CACAE">
    <w:name w:val="E6BDDA1CF266449395A2E9E6B82CACAE"/>
    <w:rsid w:val="0054137B"/>
  </w:style>
  <w:style w:type="paragraph" w:customStyle="1" w:styleId="35A31ADCDCE54460AB11A2F341CFBE29">
    <w:name w:val="35A31ADCDCE54460AB11A2F341CFBE29"/>
    <w:rsid w:val="0054137B"/>
  </w:style>
  <w:style w:type="paragraph" w:customStyle="1" w:styleId="6FF0B83E0E1A4433BC08AF26765C01AD">
    <w:name w:val="6FF0B83E0E1A4433BC08AF26765C01AD"/>
    <w:rsid w:val="0054137B"/>
  </w:style>
  <w:style w:type="paragraph" w:customStyle="1" w:styleId="30E97D148C624ABBB481053760FA3008">
    <w:name w:val="30E97D148C624ABBB481053760FA3008"/>
    <w:rsid w:val="0054137B"/>
  </w:style>
  <w:style w:type="paragraph" w:customStyle="1" w:styleId="2A51BE2C36734B4BAB6C57F7680C38D5">
    <w:name w:val="2A51BE2C36734B4BAB6C57F7680C38D5"/>
    <w:rsid w:val="0054137B"/>
  </w:style>
  <w:style w:type="paragraph" w:customStyle="1" w:styleId="9DDD2F748D7F4D5EA5AD7151D098F3A5">
    <w:name w:val="9DDD2F748D7F4D5EA5AD7151D098F3A5"/>
    <w:rsid w:val="0054137B"/>
  </w:style>
  <w:style w:type="paragraph" w:customStyle="1" w:styleId="9038ECC294E84B62AFE685D398D615D6">
    <w:name w:val="9038ECC294E84B62AFE685D398D615D6"/>
    <w:rsid w:val="0054137B"/>
  </w:style>
  <w:style w:type="paragraph" w:customStyle="1" w:styleId="43D9A9360E28438EB7E30D79CB4CA734">
    <w:name w:val="43D9A9360E28438EB7E30D79CB4CA734"/>
    <w:rsid w:val="0054137B"/>
  </w:style>
  <w:style w:type="paragraph" w:customStyle="1" w:styleId="6906A4B086DA4119A098C740D1CBD43F">
    <w:name w:val="6906A4B086DA4119A098C740D1CBD43F"/>
    <w:rsid w:val="0054137B"/>
  </w:style>
  <w:style w:type="paragraph" w:customStyle="1" w:styleId="A86666AD74A44298BDD13A98866968FF">
    <w:name w:val="A86666AD74A44298BDD13A98866968FF"/>
    <w:rsid w:val="00541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9978E-2725-4CB6-B802-A2C0BDB0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3149</Words>
  <Characters>20492</Characters>
  <Application>Microsoft Office Word</Application>
  <DocSecurity>8</DocSecurity>
  <Lines>731</Lines>
  <Paragraphs>311</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Higgins</dc:creator>
  <cp:lastModifiedBy>Emily Kassas</cp:lastModifiedBy>
  <cp:revision>4</cp:revision>
  <dcterms:created xsi:type="dcterms:W3CDTF">2025-10-20T02:53:00Z</dcterms:created>
  <dcterms:modified xsi:type="dcterms:W3CDTF">2025-11-26T23:16:00Z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