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6203A9" w:rsidRPr="006D7142" w14:paraId="283D4B0F" w14:textId="77777777" w:rsidTr="000026AD">
        <w:tc>
          <w:tcPr>
            <w:tcW w:w="3601" w:type="dxa"/>
            <w:tcBorders>
              <w:top w:val="single" w:sz="8" w:space="0" w:color="auto"/>
              <w:left w:val="nil"/>
              <w:bottom w:val="nil"/>
              <w:right w:val="nil"/>
              <w:tl2br w:val="nil"/>
              <w:tr2bl w:val="nil"/>
            </w:tcBorders>
            <w:shd w:val="clear" w:color="auto" w:fill="C6D9F1"/>
            <w:vAlign w:val="center"/>
            <w:hideMark/>
          </w:tcPr>
          <w:p w14:paraId="6C637D9B" w14:textId="77777777" w:rsidR="006203A9" w:rsidRPr="006D7142" w:rsidRDefault="006203A9" w:rsidP="000026AD">
            <w:pPr>
              <w:pStyle w:val="TableTextWhite"/>
              <w:rPr>
                <w:rFonts w:ascii="Public Sans" w:hAnsi="Public Sans" w:cstheme="minorHAnsi"/>
                <w:b/>
                <w:color w:val="auto"/>
                <w:sz w:val="22"/>
                <w:szCs w:val="22"/>
              </w:rPr>
            </w:pPr>
            <w:bookmarkStart w:id="0" w:name="_Hlk189642642"/>
            <w:bookmarkStart w:id="1" w:name="_Hlk189638927"/>
            <w:r w:rsidRPr="006D7142">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3FD6A323" w14:textId="77777777" w:rsidR="006203A9" w:rsidRPr="006D7142" w:rsidRDefault="006203A9"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Communities and Justice</w:t>
            </w:r>
          </w:p>
        </w:tc>
      </w:tr>
      <w:tr w:rsidR="006203A9" w:rsidRPr="006D7142" w14:paraId="79ADED34" w14:textId="77777777" w:rsidTr="000026AD">
        <w:tc>
          <w:tcPr>
            <w:tcW w:w="3601" w:type="dxa"/>
            <w:tcBorders>
              <w:top w:val="single" w:sz="8" w:space="0" w:color="FFFFFF"/>
              <w:left w:val="nil"/>
              <w:bottom w:val="single" w:sz="8" w:space="0" w:color="FFFFFF"/>
              <w:right w:val="nil"/>
            </w:tcBorders>
            <w:shd w:val="clear" w:color="auto" w:fill="C6D9F1"/>
            <w:vAlign w:val="center"/>
          </w:tcPr>
          <w:p w14:paraId="52755404"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A2507EC" w14:textId="77777777" w:rsidR="006203A9" w:rsidRPr="006D7142" w:rsidRDefault="006203A9"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Department of Communities and Justice</w:t>
            </w:r>
          </w:p>
        </w:tc>
      </w:tr>
      <w:tr w:rsidR="006203A9" w:rsidRPr="006D7142" w14:paraId="0E5F03B8"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2071E97D"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D173527" w14:textId="225AD6D6" w:rsidR="006203A9" w:rsidRPr="006D7142" w:rsidRDefault="006203A9"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 xml:space="preserve">Homes NSW </w:t>
            </w:r>
            <w:r w:rsidR="00856AB0">
              <w:rPr>
                <w:rFonts w:ascii="Public Sans" w:hAnsi="Public Sans" w:cstheme="minorHAnsi"/>
                <w:color w:val="auto"/>
                <w:sz w:val="22"/>
                <w:szCs w:val="22"/>
              </w:rPr>
              <w:t xml:space="preserve"> / Housing Services / Districts</w:t>
            </w:r>
            <w:r w:rsidRPr="006D7142">
              <w:rPr>
                <w:rFonts w:ascii="Public Sans" w:hAnsi="Public Sans" w:cstheme="minorHAnsi"/>
                <w:color w:val="auto"/>
                <w:sz w:val="22"/>
                <w:szCs w:val="22"/>
              </w:rPr>
              <w:t xml:space="preserve"> </w:t>
            </w:r>
          </w:p>
        </w:tc>
      </w:tr>
      <w:tr w:rsidR="006203A9" w:rsidRPr="006D7142" w14:paraId="0E0167DC" w14:textId="77777777" w:rsidTr="000026AD">
        <w:tc>
          <w:tcPr>
            <w:tcW w:w="3601" w:type="dxa"/>
            <w:tcBorders>
              <w:top w:val="single" w:sz="8" w:space="0" w:color="FFFFFF"/>
              <w:left w:val="nil"/>
              <w:bottom w:val="single" w:sz="8" w:space="0" w:color="FFFFFF"/>
              <w:right w:val="nil"/>
            </w:tcBorders>
            <w:shd w:val="clear" w:color="auto" w:fill="C6D9F1"/>
            <w:hideMark/>
          </w:tcPr>
          <w:p w14:paraId="6E1E688E"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F9E1110" w14:textId="5C022CC1" w:rsidR="006203A9" w:rsidRPr="006D7142" w:rsidRDefault="00DD067C"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Various</w:t>
            </w:r>
          </w:p>
        </w:tc>
      </w:tr>
      <w:tr w:rsidR="006203A9" w:rsidRPr="006D7142" w14:paraId="47A7C5E2"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66FA1C9D"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428ADFF" w14:textId="140032B7" w:rsidR="006203A9" w:rsidRPr="006D7142" w:rsidRDefault="00DD067C"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Clerk Grade 5/6</w:t>
            </w:r>
          </w:p>
        </w:tc>
      </w:tr>
      <w:tr w:rsidR="006203A9" w:rsidRPr="006D7142" w14:paraId="73D14AAB"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0A5F5C6D"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769759A" w14:textId="77777777" w:rsidR="006203A9" w:rsidRPr="006D7142" w:rsidRDefault="006203A9"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TBC</w:t>
            </w:r>
          </w:p>
        </w:tc>
      </w:tr>
      <w:tr w:rsidR="006203A9" w:rsidRPr="006D7142" w14:paraId="3DCD6BCB"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3F2A6507"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8728E64" w14:textId="27E497B9" w:rsidR="006203A9" w:rsidRPr="006D7142" w:rsidRDefault="00DD067C"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411711</w:t>
            </w:r>
          </w:p>
        </w:tc>
      </w:tr>
      <w:tr w:rsidR="006203A9" w:rsidRPr="006D7142" w14:paraId="22A55F6E"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0CAD1FF1"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8AF282E" w14:textId="0CF54119" w:rsidR="006203A9" w:rsidRPr="006D7142" w:rsidRDefault="00DD067C"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1119192</w:t>
            </w:r>
          </w:p>
        </w:tc>
      </w:tr>
      <w:tr w:rsidR="006203A9" w:rsidRPr="006D7142" w14:paraId="515CF151" w14:textId="77777777" w:rsidTr="000026AD">
        <w:tc>
          <w:tcPr>
            <w:tcW w:w="3601" w:type="dxa"/>
            <w:tcBorders>
              <w:top w:val="single" w:sz="8" w:space="0" w:color="FFFFFF"/>
              <w:left w:val="nil"/>
              <w:bottom w:val="single" w:sz="8" w:space="0" w:color="FFFFFF"/>
              <w:right w:val="nil"/>
            </w:tcBorders>
            <w:shd w:val="clear" w:color="auto" w:fill="C6D9F1"/>
            <w:vAlign w:val="center"/>
            <w:hideMark/>
          </w:tcPr>
          <w:p w14:paraId="3D4AB5F5"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6335E47" w14:textId="68457033" w:rsidR="006203A9" w:rsidRPr="006D7142" w:rsidRDefault="00440E7C" w:rsidP="000026AD">
            <w:pPr>
              <w:pStyle w:val="TableTextWhite"/>
              <w:rPr>
                <w:rFonts w:ascii="Public Sans" w:hAnsi="Public Sans" w:cstheme="minorHAnsi"/>
                <w:color w:val="auto"/>
                <w:sz w:val="22"/>
                <w:szCs w:val="22"/>
              </w:rPr>
            </w:pPr>
            <w:r>
              <w:rPr>
                <w:rFonts w:ascii="Public Sans" w:hAnsi="Public Sans" w:cstheme="minorHAnsi"/>
                <w:color w:val="auto"/>
                <w:sz w:val="22"/>
                <w:szCs w:val="22"/>
              </w:rPr>
              <w:t>11 November 2025</w:t>
            </w:r>
          </w:p>
        </w:tc>
        <w:tc>
          <w:tcPr>
            <w:tcW w:w="2561" w:type="dxa"/>
            <w:tcBorders>
              <w:top w:val="single" w:sz="8" w:space="0" w:color="FFFFFF"/>
              <w:left w:val="nil"/>
              <w:bottom w:val="single" w:sz="8" w:space="0" w:color="FFFFFF"/>
              <w:right w:val="nil"/>
            </w:tcBorders>
            <w:shd w:val="clear" w:color="auto" w:fill="C6D9F1"/>
          </w:tcPr>
          <w:p w14:paraId="2BB4C7AD" w14:textId="432AE379"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 xml:space="preserve">Ref: </w:t>
            </w:r>
            <w:r w:rsidR="00856AB0" w:rsidRPr="00856AB0">
              <w:rPr>
                <w:rFonts w:ascii="Public Sans" w:hAnsi="Public Sans" w:cstheme="minorHAnsi"/>
                <w:b/>
                <w:bCs/>
                <w:color w:val="auto"/>
                <w:sz w:val="22"/>
                <w:szCs w:val="22"/>
              </w:rPr>
              <w:t>HSERV 032</w:t>
            </w:r>
          </w:p>
        </w:tc>
      </w:tr>
      <w:tr w:rsidR="006203A9" w:rsidRPr="006D7142" w14:paraId="6618BC84" w14:textId="77777777" w:rsidTr="000026AD">
        <w:tc>
          <w:tcPr>
            <w:tcW w:w="3601" w:type="dxa"/>
            <w:tcBorders>
              <w:top w:val="single" w:sz="8" w:space="0" w:color="FFFFFF"/>
              <w:left w:val="nil"/>
              <w:bottom w:val="single" w:sz="8" w:space="0" w:color="auto"/>
              <w:right w:val="nil"/>
            </w:tcBorders>
            <w:shd w:val="clear" w:color="auto" w:fill="C6D9F1"/>
            <w:vAlign w:val="center"/>
            <w:hideMark/>
          </w:tcPr>
          <w:p w14:paraId="75A2967A" w14:textId="77777777" w:rsidR="006203A9" w:rsidRPr="006D7142" w:rsidRDefault="006203A9" w:rsidP="000026AD">
            <w:pPr>
              <w:pStyle w:val="TableTextWhite"/>
              <w:rPr>
                <w:rFonts w:ascii="Public Sans" w:hAnsi="Public Sans" w:cstheme="minorHAnsi"/>
                <w:b/>
                <w:color w:val="auto"/>
                <w:sz w:val="22"/>
                <w:szCs w:val="22"/>
              </w:rPr>
            </w:pPr>
            <w:r w:rsidRPr="006D7142">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7973AF4B" w14:textId="77777777" w:rsidR="006203A9" w:rsidRPr="006D7142" w:rsidRDefault="006203A9" w:rsidP="000026AD">
            <w:pPr>
              <w:pStyle w:val="TableTextWhite"/>
              <w:rPr>
                <w:rFonts w:ascii="Public Sans" w:hAnsi="Public Sans" w:cstheme="minorHAnsi"/>
                <w:color w:val="auto"/>
                <w:sz w:val="22"/>
                <w:szCs w:val="22"/>
              </w:rPr>
            </w:pPr>
            <w:r w:rsidRPr="006D7142">
              <w:rPr>
                <w:rFonts w:ascii="Public Sans" w:hAnsi="Public Sans" w:cstheme="minorHAnsi"/>
                <w:color w:val="auto"/>
                <w:sz w:val="22"/>
                <w:szCs w:val="22"/>
              </w:rPr>
              <w:t>www.dcj.nsw.gov.au</w:t>
            </w:r>
          </w:p>
        </w:tc>
      </w:tr>
    </w:tbl>
    <w:p w14:paraId="6992F50F" w14:textId="77777777" w:rsidR="006D7142" w:rsidRPr="006D7142" w:rsidRDefault="006D7142" w:rsidP="006D7142">
      <w:pPr>
        <w:jc w:val="both"/>
        <w:rPr>
          <w:rFonts w:ascii="Public Sans" w:hAnsi="Public Sans" w:cstheme="minorHAnsi"/>
          <w:b/>
          <w:i/>
          <w:color w:val="FF0000"/>
        </w:rPr>
      </w:pPr>
      <w:bookmarkStart w:id="2" w:name="_Hlk202877858"/>
      <w:bookmarkEnd w:id="0"/>
      <w:bookmarkEnd w:id="1"/>
      <w:r w:rsidRPr="006D7142">
        <w:rPr>
          <w:rFonts w:ascii="Public Sans" w:hAnsi="Public Sans" w:cstheme="minorHAnsi"/>
          <w:b/>
          <w:i/>
        </w:rPr>
        <w:t xml:space="preserve">Please see job notes and/or advertisement for more information on specific role qualification requirements and relevant experience. </w:t>
      </w:r>
    </w:p>
    <w:p w14:paraId="45D03483" w14:textId="77777777" w:rsidR="006D7142" w:rsidRPr="006D7142" w:rsidRDefault="006D7142" w:rsidP="006D7142">
      <w:pPr>
        <w:pStyle w:val="Heading1"/>
        <w:spacing w:after="0" w:line="240" w:lineRule="auto"/>
        <w:rPr>
          <w:rFonts w:ascii="Public Sans" w:hAnsi="Public Sans" w:cstheme="minorHAnsi"/>
          <w:sz w:val="24"/>
          <w:szCs w:val="24"/>
        </w:rPr>
      </w:pPr>
    </w:p>
    <w:p w14:paraId="5F7B6D4A" w14:textId="77777777" w:rsidR="006D7142" w:rsidRPr="006D7142" w:rsidRDefault="006D7142" w:rsidP="006D7142">
      <w:pPr>
        <w:pStyle w:val="Heading1"/>
        <w:spacing w:after="0" w:line="240" w:lineRule="auto"/>
        <w:rPr>
          <w:rFonts w:ascii="Public Sans" w:hAnsi="Public Sans" w:cstheme="minorHAnsi"/>
          <w:sz w:val="22"/>
          <w:szCs w:val="22"/>
        </w:rPr>
      </w:pPr>
      <w:r w:rsidRPr="006D7142">
        <w:rPr>
          <w:rFonts w:ascii="Public Sans" w:hAnsi="Public Sans" w:cstheme="minorHAnsi"/>
          <w:sz w:val="22"/>
          <w:szCs w:val="22"/>
        </w:rPr>
        <w:t>Homes NSW overview</w:t>
      </w:r>
    </w:p>
    <w:p w14:paraId="1D1C98B6" w14:textId="77777777" w:rsidR="006D7142" w:rsidRPr="006D7142" w:rsidRDefault="006D7142" w:rsidP="006D7142">
      <w:pPr>
        <w:spacing w:line="240" w:lineRule="auto"/>
        <w:jc w:val="both"/>
        <w:rPr>
          <w:rFonts w:ascii="Public Sans" w:hAnsi="Public Sans" w:cs="Arial"/>
        </w:rPr>
      </w:pPr>
      <w:bookmarkStart w:id="3" w:name="_Hlk163030612"/>
      <w:r w:rsidRPr="006D7142">
        <w:rPr>
          <w:rFonts w:ascii="Public Sans" w:hAnsi="Public Sans" w:cs="Arial"/>
        </w:rPr>
        <w:t>The NSW Government is determined to make NSW a place where everyone has access to safe and secure housing, and where experiences of homelessness are rare, brief and non-recurring. </w:t>
      </w:r>
    </w:p>
    <w:p w14:paraId="6D1B3603" w14:textId="77777777" w:rsidR="006D7142" w:rsidRPr="006D7142" w:rsidRDefault="006D7142" w:rsidP="006D7142">
      <w:pPr>
        <w:spacing w:line="240" w:lineRule="auto"/>
        <w:jc w:val="both"/>
        <w:rPr>
          <w:rFonts w:ascii="Public Sans" w:hAnsi="Public Sans" w:cs="Arial"/>
        </w:rPr>
      </w:pPr>
      <w:r w:rsidRPr="006D7142">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47F3FE43" w14:textId="77777777" w:rsidR="006D7142" w:rsidRPr="006D7142" w:rsidRDefault="006D7142" w:rsidP="006D7142">
      <w:pPr>
        <w:spacing w:line="240" w:lineRule="auto"/>
        <w:jc w:val="both"/>
        <w:rPr>
          <w:rFonts w:ascii="Public Sans" w:hAnsi="Public Sans" w:cs="Arial"/>
        </w:rPr>
      </w:pPr>
      <w:r w:rsidRPr="006D7142">
        <w:rPr>
          <w:rFonts w:ascii="Public Sans" w:hAnsi="Public Sans" w:cs="Arial"/>
        </w:rPr>
        <w:t>Homes NSW leads work to deliver more social and affordable housing, end the cycle of homelessness, and deliver quality public housing to our 262,000 tenants across NSW.</w:t>
      </w:r>
    </w:p>
    <w:p w14:paraId="766E1CD7" w14:textId="77777777" w:rsidR="006D7142" w:rsidRPr="006D7142" w:rsidRDefault="006D7142" w:rsidP="006D7142">
      <w:pPr>
        <w:spacing w:line="240" w:lineRule="auto"/>
        <w:jc w:val="both"/>
        <w:rPr>
          <w:rFonts w:ascii="Public Sans" w:hAnsi="Public Sans" w:cs="Arial"/>
        </w:rPr>
      </w:pPr>
      <w:r w:rsidRPr="006D7142">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79554F66" w14:textId="77777777" w:rsidR="006D7142" w:rsidRPr="006D7142" w:rsidRDefault="006D7142" w:rsidP="006D7142">
      <w:pPr>
        <w:spacing w:line="240" w:lineRule="auto"/>
        <w:jc w:val="both"/>
        <w:rPr>
          <w:rFonts w:ascii="Public Sans" w:hAnsi="Public Sans" w:cs="Arial"/>
        </w:rPr>
      </w:pPr>
      <w:r w:rsidRPr="006D7142">
        <w:rPr>
          <w:rFonts w:ascii="Public Sans" w:hAnsi="Public Sans" w:cs="Arial"/>
        </w:rPr>
        <w:t xml:space="preserve">We strive for excellence in service delivery and partner with all levels of government, sector and communities to address the housing crisis. </w:t>
      </w:r>
    </w:p>
    <w:p w14:paraId="58D40074" w14:textId="77777777" w:rsidR="006D7142" w:rsidRPr="006D7142" w:rsidRDefault="006D7142" w:rsidP="006D7142">
      <w:pPr>
        <w:spacing w:line="240" w:lineRule="auto"/>
        <w:jc w:val="both"/>
        <w:rPr>
          <w:rFonts w:ascii="Public Sans" w:hAnsi="Public Sans" w:cs="Arial"/>
        </w:rPr>
      </w:pPr>
      <w:r w:rsidRPr="006D7142">
        <w:rPr>
          <w:rFonts w:ascii="Public Sans" w:hAnsi="Public Sans" w:cs="Arial"/>
        </w:rPr>
        <w:t>Most importantly, Homes NSW puts people at the heart – including our staff. Working for us means you are joining a division where your expertise and skills will be valued.</w:t>
      </w:r>
    </w:p>
    <w:bookmarkEnd w:id="2"/>
    <w:bookmarkEnd w:id="3"/>
    <w:p w14:paraId="494F5F2F" w14:textId="77777777" w:rsidR="005F1920" w:rsidRPr="006D7142" w:rsidRDefault="005F1920" w:rsidP="00653588">
      <w:pPr>
        <w:pStyle w:val="Heading1"/>
        <w:spacing w:after="0" w:line="240" w:lineRule="auto"/>
        <w:rPr>
          <w:rFonts w:ascii="Public Sans" w:hAnsi="Public Sans"/>
          <w:sz w:val="24"/>
          <w:szCs w:val="24"/>
        </w:rPr>
      </w:pPr>
    </w:p>
    <w:p w14:paraId="6150D5F9" w14:textId="31E8C160" w:rsidR="00057CB3" w:rsidRPr="006D7142" w:rsidRDefault="00057CB3" w:rsidP="00653588">
      <w:pPr>
        <w:pStyle w:val="Heading1"/>
        <w:spacing w:after="0" w:line="240" w:lineRule="auto"/>
        <w:rPr>
          <w:rFonts w:ascii="Public Sans" w:hAnsi="Public Sans"/>
          <w:sz w:val="24"/>
          <w:szCs w:val="24"/>
        </w:rPr>
      </w:pPr>
      <w:r w:rsidRPr="006D7142">
        <w:rPr>
          <w:rFonts w:ascii="Public Sans" w:hAnsi="Public Sans"/>
          <w:sz w:val="24"/>
          <w:szCs w:val="24"/>
        </w:rPr>
        <w:t>Primary purpose of the role</w:t>
      </w:r>
    </w:p>
    <w:p w14:paraId="726EDE81" w14:textId="77777777" w:rsidR="00653588" w:rsidRPr="006D7142" w:rsidRDefault="00653588" w:rsidP="00653588">
      <w:pPr>
        <w:spacing w:after="0" w:line="240" w:lineRule="auto"/>
        <w:rPr>
          <w:rFonts w:ascii="Public Sans" w:hAnsi="Public Sans"/>
        </w:rPr>
      </w:pPr>
    </w:p>
    <w:p w14:paraId="752DAB23" w14:textId="12708856" w:rsidR="006F390F" w:rsidRPr="006D7142" w:rsidRDefault="00324126" w:rsidP="00653588">
      <w:pPr>
        <w:spacing w:after="0" w:line="240" w:lineRule="auto"/>
        <w:jc w:val="both"/>
        <w:rPr>
          <w:rFonts w:ascii="Public Sans" w:hAnsi="Public Sans" w:cs="Arial"/>
          <w:iCs/>
        </w:rPr>
      </w:pPr>
      <w:r w:rsidRPr="006D7142">
        <w:rPr>
          <w:rFonts w:ascii="Public Sans" w:hAnsi="Public Sans" w:cs="Arial"/>
          <w:iCs/>
        </w:rPr>
        <w:t xml:space="preserve">The </w:t>
      </w:r>
      <w:r w:rsidR="0099330A" w:rsidRPr="006D7142">
        <w:rPr>
          <w:rFonts w:ascii="Public Sans" w:hAnsi="Public Sans" w:cs="Arial"/>
          <w:iCs/>
        </w:rPr>
        <w:t xml:space="preserve">Senior Client Service Officer (Specialist) </w:t>
      </w:r>
      <w:r w:rsidR="00856AB0" w:rsidRPr="006D7142">
        <w:rPr>
          <w:rFonts w:ascii="Public Sans" w:hAnsi="Public Sans" w:cs="Arial"/>
          <w:iCs/>
        </w:rPr>
        <w:t>provides specialist</w:t>
      </w:r>
      <w:r w:rsidR="0099330A" w:rsidRPr="006D7142">
        <w:rPr>
          <w:rFonts w:ascii="Public Sans" w:hAnsi="Public Sans" w:cs="Arial"/>
          <w:iCs/>
        </w:rPr>
        <w:t xml:space="preserve"> advice and support</w:t>
      </w:r>
      <w:r w:rsidR="004F1B1E" w:rsidRPr="006D7142">
        <w:rPr>
          <w:rFonts w:ascii="Public Sans" w:hAnsi="Public Sans" w:cs="Arial"/>
          <w:iCs/>
        </w:rPr>
        <w:t>s</w:t>
      </w:r>
      <w:r w:rsidR="0099330A" w:rsidRPr="006D7142">
        <w:rPr>
          <w:rFonts w:ascii="Public Sans" w:hAnsi="Public Sans" w:cs="Arial"/>
          <w:iCs/>
        </w:rPr>
        <w:t xml:space="preserve"> service brokerage for clients with complex support and housing needs. The role manages relationships, partnerships and networks between communities and the Department to improve communication on and access to services for clients and to support sustainable tenancies.</w:t>
      </w:r>
    </w:p>
    <w:p w14:paraId="1AA1A36D" w14:textId="20573463" w:rsidR="006D7142" w:rsidRPr="006D7142" w:rsidRDefault="006D7142">
      <w:pPr>
        <w:spacing w:after="0" w:line="240" w:lineRule="auto"/>
        <w:rPr>
          <w:rFonts w:ascii="Public Sans" w:hAnsi="Public Sans" w:cstheme="minorHAnsi"/>
          <w:b/>
          <w:bCs/>
          <w:kern w:val="32"/>
          <w:sz w:val="24"/>
          <w:szCs w:val="24"/>
        </w:rPr>
      </w:pPr>
      <w:bookmarkStart w:id="4" w:name="Purpose"/>
      <w:bookmarkEnd w:id="4"/>
      <w:r w:rsidRPr="006D7142">
        <w:rPr>
          <w:rFonts w:ascii="Public Sans" w:hAnsi="Public Sans" w:cstheme="minorHAnsi"/>
          <w:sz w:val="24"/>
          <w:szCs w:val="24"/>
        </w:rPr>
        <w:br w:type="page"/>
      </w:r>
    </w:p>
    <w:p w14:paraId="740B5D51" w14:textId="20E24517" w:rsidR="00057CB3" w:rsidRPr="006D7142" w:rsidRDefault="00057CB3" w:rsidP="00653588">
      <w:pPr>
        <w:pStyle w:val="Heading1"/>
        <w:spacing w:after="0" w:line="240" w:lineRule="auto"/>
        <w:rPr>
          <w:rFonts w:ascii="Public Sans" w:hAnsi="Public Sans" w:cstheme="minorHAnsi"/>
          <w:sz w:val="24"/>
          <w:szCs w:val="24"/>
        </w:rPr>
      </w:pPr>
      <w:r w:rsidRPr="006D7142">
        <w:rPr>
          <w:rFonts w:ascii="Public Sans" w:hAnsi="Public Sans" w:cstheme="minorHAnsi"/>
          <w:sz w:val="24"/>
          <w:szCs w:val="24"/>
        </w:rPr>
        <w:lastRenderedPageBreak/>
        <w:t xml:space="preserve">Key </w:t>
      </w:r>
      <w:r w:rsidR="00043B92" w:rsidRPr="006D7142">
        <w:rPr>
          <w:rFonts w:ascii="Public Sans" w:hAnsi="Public Sans" w:cstheme="minorHAnsi"/>
          <w:sz w:val="24"/>
          <w:szCs w:val="24"/>
        </w:rPr>
        <w:t>a</w:t>
      </w:r>
      <w:r w:rsidRPr="006D7142">
        <w:rPr>
          <w:rFonts w:ascii="Public Sans" w:hAnsi="Public Sans" w:cstheme="minorHAnsi"/>
          <w:sz w:val="24"/>
          <w:szCs w:val="24"/>
        </w:rPr>
        <w:t>ccountabilities</w:t>
      </w:r>
    </w:p>
    <w:p w14:paraId="139B982D" w14:textId="77777777" w:rsidR="00653588" w:rsidRPr="006D7142" w:rsidRDefault="00653588" w:rsidP="00653588">
      <w:pPr>
        <w:spacing w:after="0" w:line="240" w:lineRule="auto"/>
        <w:rPr>
          <w:rFonts w:ascii="Public Sans" w:hAnsi="Public Sans"/>
        </w:rPr>
      </w:pPr>
    </w:p>
    <w:p w14:paraId="218206A2" w14:textId="77777777"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Provide advice and/ or make appropriate referrals to assist clients with complex support and housing needs in accessing appropriate support services.</w:t>
      </w:r>
    </w:p>
    <w:p w14:paraId="1445404F" w14:textId="77777777"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Work collaboratively with Client Service Officers, internal specialists and external service providers to develop innovative strategies to deliver improved client outcomes and overcome barriers to access.</w:t>
      </w:r>
    </w:p>
    <w:p w14:paraId="3FC0C6CE" w14:textId="77777777"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Coordinate and monitor case management plans in consultation with relevant professional specialists, agencies and service providers.</w:t>
      </w:r>
    </w:p>
    <w:p w14:paraId="7307D326" w14:textId="1E6BB4E1" w:rsidR="006F390F"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Develop and sustain local partnerships with other providers to build stronger communities</w:t>
      </w:r>
    </w:p>
    <w:p w14:paraId="47934CA0" w14:textId="77777777"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Identify development and training needs for client service teams and provide on the job training, mentoring and guidance to client service staff to ensure a clients specific needs are understood and appropriate services are delivered.</w:t>
      </w:r>
    </w:p>
    <w:p w14:paraId="3BF815D9" w14:textId="38A976E4"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Manage integrity of client data and files so that information is relevant, accurate and secure</w:t>
      </w:r>
      <w:r w:rsidR="005F1920" w:rsidRPr="006D7142">
        <w:rPr>
          <w:rFonts w:ascii="Public Sans" w:hAnsi="Public Sans" w:cstheme="minorHAnsi"/>
          <w:bCs/>
        </w:rPr>
        <w:t>.</w:t>
      </w:r>
    </w:p>
    <w:p w14:paraId="395172DB" w14:textId="77777777" w:rsidR="005F1920" w:rsidRPr="006D7142" w:rsidRDefault="005F1920" w:rsidP="005F1920">
      <w:pPr>
        <w:spacing w:after="0" w:line="240" w:lineRule="auto"/>
        <w:jc w:val="both"/>
        <w:rPr>
          <w:rFonts w:ascii="Public Sans" w:hAnsi="Public Sans" w:cs="Arial"/>
          <w:bCs/>
        </w:rPr>
      </w:pPr>
    </w:p>
    <w:p w14:paraId="0E3C5A36" w14:textId="77777777" w:rsidR="00057CB3" w:rsidRPr="006D7142" w:rsidRDefault="00057CB3" w:rsidP="00653588">
      <w:pPr>
        <w:pStyle w:val="Heading1"/>
        <w:spacing w:after="0" w:line="240" w:lineRule="auto"/>
        <w:rPr>
          <w:rFonts w:ascii="Public Sans" w:hAnsi="Public Sans" w:cstheme="minorHAnsi"/>
          <w:sz w:val="24"/>
          <w:szCs w:val="24"/>
        </w:rPr>
      </w:pPr>
      <w:bookmarkStart w:id="5" w:name="Accountabilities"/>
      <w:bookmarkEnd w:id="5"/>
      <w:r w:rsidRPr="006D7142">
        <w:rPr>
          <w:rFonts w:ascii="Public Sans" w:hAnsi="Public Sans" w:cstheme="minorHAnsi"/>
          <w:sz w:val="24"/>
          <w:szCs w:val="24"/>
        </w:rPr>
        <w:t>Key</w:t>
      </w:r>
      <w:r w:rsidR="00E31CD3" w:rsidRPr="006D7142">
        <w:rPr>
          <w:rFonts w:ascii="Public Sans" w:hAnsi="Public Sans" w:cstheme="minorHAnsi"/>
          <w:sz w:val="24"/>
          <w:szCs w:val="24"/>
        </w:rPr>
        <w:t xml:space="preserve"> </w:t>
      </w:r>
      <w:r w:rsidR="00043B92" w:rsidRPr="006D7142">
        <w:rPr>
          <w:rFonts w:ascii="Public Sans" w:hAnsi="Public Sans" w:cstheme="minorHAnsi"/>
          <w:sz w:val="24"/>
          <w:szCs w:val="24"/>
        </w:rPr>
        <w:t>c</w:t>
      </w:r>
      <w:r w:rsidRPr="006D7142">
        <w:rPr>
          <w:rFonts w:ascii="Public Sans" w:hAnsi="Public Sans" w:cstheme="minorHAnsi"/>
          <w:sz w:val="24"/>
          <w:szCs w:val="24"/>
        </w:rPr>
        <w:t>hallenges</w:t>
      </w:r>
    </w:p>
    <w:p w14:paraId="17D46D26" w14:textId="77777777" w:rsidR="00653588" w:rsidRPr="006D7142" w:rsidRDefault="00653588" w:rsidP="00653588">
      <w:pPr>
        <w:spacing w:after="0" w:line="240" w:lineRule="auto"/>
        <w:rPr>
          <w:rFonts w:ascii="Public Sans" w:hAnsi="Public Sans"/>
        </w:rPr>
      </w:pPr>
    </w:p>
    <w:p w14:paraId="64043234" w14:textId="77777777" w:rsidR="00632EFD" w:rsidRDefault="006D7142" w:rsidP="00632EFD">
      <w:pPr>
        <w:numPr>
          <w:ilvl w:val="0"/>
          <w:numId w:val="29"/>
        </w:numPr>
        <w:spacing w:before="120" w:line="240" w:lineRule="auto"/>
        <w:jc w:val="both"/>
        <w:rPr>
          <w:rFonts w:ascii="Public Sans" w:hAnsi="Public Sans" w:cstheme="minorHAnsi"/>
          <w:bCs/>
        </w:rPr>
      </w:pPr>
      <w:bookmarkStart w:id="6" w:name="Challenges"/>
      <w:bookmarkEnd w:id="6"/>
      <w:r w:rsidRPr="00632EFD">
        <w:rPr>
          <w:rFonts w:ascii="Public Sans" w:hAnsi="Public Sans" w:cstheme="minorHAnsi"/>
          <w:bCs/>
        </w:rPr>
        <w:t xml:space="preserve">Dealing with the </w:t>
      </w:r>
      <w:r w:rsidR="0099330A" w:rsidRPr="00632EFD">
        <w:rPr>
          <w:rFonts w:ascii="Public Sans" w:hAnsi="Public Sans" w:cstheme="minorHAnsi"/>
          <w:bCs/>
        </w:rPr>
        <w:t>most disadvantaged and vulnerable clients and their advocates.</w:t>
      </w:r>
      <w:r w:rsidR="00632EFD" w:rsidRPr="00632EFD">
        <w:rPr>
          <w:rFonts w:ascii="Public Sans" w:hAnsi="Public Sans" w:cstheme="minorHAnsi"/>
          <w:bCs/>
        </w:rPr>
        <w:t xml:space="preserve"> The role often needs to respond to and manage antisocial behaviour.</w:t>
      </w:r>
    </w:p>
    <w:p w14:paraId="5CC8E7EC" w14:textId="1E454F69" w:rsidR="0099330A" w:rsidRPr="00632EFD" w:rsidRDefault="006D7142" w:rsidP="00632EFD">
      <w:pPr>
        <w:numPr>
          <w:ilvl w:val="0"/>
          <w:numId w:val="29"/>
        </w:numPr>
        <w:spacing w:before="120" w:line="240" w:lineRule="auto"/>
        <w:jc w:val="both"/>
        <w:rPr>
          <w:rFonts w:ascii="Public Sans" w:hAnsi="Public Sans" w:cstheme="minorHAnsi"/>
          <w:bCs/>
        </w:rPr>
      </w:pPr>
      <w:r w:rsidRPr="00632EFD">
        <w:rPr>
          <w:rFonts w:ascii="Public Sans" w:hAnsi="Public Sans" w:cstheme="minorHAnsi"/>
          <w:bCs/>
        </w:rPr>
        <w:t>Collaborating w</w:t>
      </w:r>
      <w:r w:rsidR="0099330A" w:rsidRPr="00632EFD">
        <w:rPr>
          <w:rFonts w:ascii="Public Sans" w:hAnsi="Public Sans" w:cstheme="minorHAnsi"/>
          <w:bCs/>
        </w:rPr>
        <w:t>ith internal service areas as well as other agencies and service providers to broker services for individual clients requires a high degree of sensitivity and professional empathy.</w:t>
      </w:r>
    </w:p>
    <w:p w14:paraId="2276238D" w14:textId="77777777"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Sharing specialised knowledge and coaching and guiding team members to strengthen team effectiveness in managing competing client needs and compliance with relevant legislation is an important aspect of the role.</w:t>
      </w:r>
    </w:p>
    <w:p w14:paraId="293E9165" w14:textId="1468AD35" w:rsidR="0099330A" w:rsidRPr="006D7142" w:rsidRDefault="0099330A" w:rsidP="006D7142">
      <w:pPr>
        <w:numPr>
          <w:ilvl w:val="0"/>
          <w:numId w:val="29"/>
        </w:numPr>
        <w:spacing w:before="120" w:line="240" w:lineRule="auto"/>
        <w:jc w:val="both"/>
        <w:rPr>
          <w:rFonts w:ascii="Public Sans" w:hAnsi="Public Sans" w:cstheme="minorHAnsi"/>
          <w:bCs/>
        </w:rPr>
      </w:pPr>
      <w:r w:rsidRPr="006D7142">
        <w:rPr>
          <w:rFonts w:ascii="Public Sans" w:hAnsi="Public Sans" w:cstheme="minorHAnsi"/>
          <w:bCs/>
        </w:rPr>
        <w:t xml:space="preserve">Working across a broad range of policy and processes within </w:t>
      </w:r>
      <w:r w:rsidR="000B295D" w:rsidRPr="006D7142">
        <w:rPr>
          <w:rFonts w:ascii="Public Sans" w:hAnsi="Public Sans" w:cstheme="minorHAnsi"/>
          <w:bCs/>
        </w:rPr>
        <w:t>DCJ</w:t>
      </w:r>
      <w:r w:rsidRPr="006D7142">
        <w:rPr>
          <w:rFonts w:ascii="Public Sans" w:hAnsi="Public Sans" w:cstheme="minorHAnsi"/>
          <w:bCs/>
        </w:rPr>
        <w:t xml:space="preserve"> service streams.</w:t>
      </w:r>
    </w:p>
    <w:p w14:paraId="37503CED" w14:textId="7F41966F" w:rsidR="00653588" w:rsidRPr="00632EFD" w:rsidRDefault="0099330A" w:rsidP="00632EFD">
      <w:pPr>
        <w:pStyle w:val="Heading2"/>
        <w:rPr>
          <w:rFonts w:ascii="Public Sans" w:hAnsi="Public Sans" w:cstheme="minorHAnsi"/>
          <w:color w:val="auto"/>
          <w:kern w:val="32"/>
          <w:szCs w:val="24"/>
        </w:rPr>
      </w:pPr>
      <w:r w:rsidRPr="006D7142">
        <w:rPr>
          <w:rStyle w:val="Heading1Char"/>
          <w:rFonts w:ascii="Public Sans" w:hAnsi="Public Sans" w:cstheme="minorHAnsi"/>
          <w:b/>
          <w:bCs/>
          <w:color w:val="auto"/>
          <w:sz w:val="24"/>
          <w:szCs w:val="24"/>
        </w:rPr>
        <w:t>Key relationships</w:t>
      </w:r>
    </w:p>
    <w:tbl>
      <w:tblPr>
        <w:tblStyle w:val="PSCPurple"/>
        <w:tblW w:w="10545" w:type="dxa"/>
        <w:tblLayout w:type="fixed"/>
        <w:tblLook w:val="04A0" w:firstRow="1" w:lastRow="0" w:firstColumn="1" w:lastColumn="0" w:noHBand="0" w:noVBand="1"/>
      </w:tblPr>
      <w:tblGrid>
        <w:gridCol w:w="3600"/>
        <w:gridCol w:w="6945"/>
      </w:tblGrid>
      <w:tr w:rsidR="000B295D" w:rsidRPr="006D7142" w14:paraId="5FB4698E" w14:textId="77777777" w:rsidTr="000B295D">
        <w:trPr>
          <w:cnfStyle w:val="100000000000" w:firstRow="1" w:lastRow="0" w:firstColumn="0" w:lastColumn="0" w:oddVBand="0" w:evenVBand="0" w:oddHBand="0" w:evenHBand="0" w:firstRowFirstColumn="0" w:firstRowLastColumn="0" w:lastRowFirstColumn="0" w:lastRowLastColumn="0"/>
          <w:cantSplit/>
          <w:tblHeader/>
        </w:trPr>
        <w:tc>
          <w:tcPr>
            <w:tcW w:w="3600" w:type="dxa"/>
            <w:hideMark/>
          </w:tcPr>
          <w:p w14:paraId="27151627" w14:textId="77777777" w:rsidR="000B295D" w:rsidRPr="006D7142" w:rsidRDefault="000B295D">
            <w:pPr>
              <w:pStyle w:val="TableTextWhite0"/>
              <w:rPr>
                <w:rFonts w:ascii="Public Sans" w:hAnsi="Public Sans" w:cstheme="minorHAnsi"/>
                <w:szCs w:val="22"/>
              </w:rPr>
            </w:pPr>
            <w:r w:rsidRPr="006D7142">
              <w:rPr>
                <w:rFonts w:ascii="Public Sans" w:hAnsi="Public Sans" w:cstheme="minorHAnsi"/>
                <w:szCs w:val="22"/>
              </w:rPr>
              <w:t>Who</w:t>
            </w:r>
          </w:p>
        </w:tc>
        <w:tc>
          <w:tcPr>
            <w:tcW w:w="6945" w:type="dxa"/>
            <w:hideMark/>
          </w:tcPr>
          <w:p w14:paraId="6EFFA045" w14:textId="77777777" w:rsidR="000B295D" w:rsidRPr="006D7142" w:rsidRDefault="000B295D">
            <w:pPr>
              <w:pStyle w:val="TableTextWhite0"/>
              <w:rPr>
                <w:rFonts w:ascii="Public Sans" w:hAnsi="Public Sans" w:cstheme="minorHAnsi"/>
                <w:szCs w:val="22"/>
              </w:rPr>
            </w:pPr>
            <w:r w:rsidRPr="006D7142">
              <w:rPr>
                <w:rFonts w:ascii="Public Sans" w:hAnsi="Public Sans" w:cstheme="minorHAnsi"/>
                <w:szCs w:val="22"/>
              </w:rPr>
              <w:t>Why</w:t>
            </w:r>
          </w:p>
        </w:tc>
      </w:tr>
      <w:tr w:rsidR="000B295D" w:rsidRPr="006D7142" w14:paraId="603322D7" w14:textId="77777777" w:rsidTr="000B295D">
        <w:trPr>
          <w:cantSplit/>
        </w:trPr>
        <w:tc>
          <w:tcPr>
            <w:tcW w:w="3600" w:type="dxa"/>
            <w:tcBorders>
              <w:top w:val="single" w:sz="8" w:space="0" w:color="auto"/>
              <w:left w:val="nil"/>
              <w:bottom w:val="single" w:sz="8" w:space="0" w:color="auto"/>
              <w:right w:val="nil"/>
            </w:tcBorders>
            <w:shd w:val="clear" w:color="auto" w:fill="BCBEC0"/>
            <w:hideMark/>
          </w:tcPr>
          <w:p w14:paraId="27425B68" w14:textId="77777777" w:rsidR="000B295D" w:rsidRPr="006D7142" w:rsidRDefault="000B295D">
            <w:pPr>
              <w:pStyle w:val="TableText"/>
              <w:keepNext/>
              <w:rPr>
                <w:rFonts w:ascii="Public Sans" w:hAnsi="Public Sans" w:cstheme="minorHAnsi"/>
                <w:b/>
                <w:sz w:val="22"/>
                <w:szCs w:val="22"/>
              </w:rPr>
            </w:pPr>
            <w:bookmarkStart w:id="7" w:name="InternalRelationships"/>
            <w:r w:rsidRPr="006D7142">
              <w:rPr>
                <w:rFonts w:ascii="Public Sans" w:hAnsi="Public Sans" w:cstheme="minorHAnsi"/>
                <w:b/>
                <w:sz w:val="22"/>
                <w:szCs w:val="22"/>
              </w:rPr>
              <w:t>Internal</w:t>
            </w:r>
          </w:p>
        </w:tc>
        <w:tc>
          <w:tcPr>
            <w:tcW w:w="6945" w:type="dxa"/>
            <w:tcBorders>
              <w:top w:val="single" w:sz="8" w:space="0" w:color="auto"/>
              <w:left w:val="nil"/>
              <w:bottom w:val="single" w:sz="8" w:space="0" w:color="auto"/>
              <w:right w:val="nil"/>
            </w:tcBorders>
            <w:shd w:val="clear" w:color="auto" w:fill="BCBEC0"/>
          </w:tcPr>
          <w:p w14:paraId="37B9710F" w14:textId="77777777" w:rsidR="000B295D" w:rsidRPr="006D7142" w:rsidRDefault="000B295D">
            <w:pPr>
              <w:pStyle w:val="TableText"/>
              <w:keepNext/>
              <w:rPr>
                <w:rFonts w:ascii="Public Sans" w:hAnsi="Public Sans" w:cstheme="minorHAnsi"/>
                <w:b/>
                <w:sz w:val="22"/>
                <w:szCs w:val="22"/>
              </w:rPr>
            </w:pPr>
          </w:p>
        </w:tc>
      </w:tr>
      <w:bookmarkEnd w:id="7"/>
      <w:tr w:rsidR="000B295D" w:rsidRPr="006D7142" w14:paraId="1C5E61B8" w14:textId="77777777" w:rsidTr="000B295D">
        <w:trPr>
          <w:cantSplit/>
        </w:trPr>
        <w:tc>
          <w:tcPr>
            <w:tcW w:w="3600" w:type="dxa"/>
            <w:tcBorders>
              <w:top w:val="single" w:sz="8" w:space="0" w:color="auto"/>
              <w:bottom w:val="single" w:sz="8" w:space="0" w:color="BFBFBF" w:themeColor="background1" w:themeShade="BF"/>
            </w:tcBorders>
          </w:tcPr>
          <w:p w14:paraId="24CC7C81" w14:textId="774BCE56" w:rsidR="000B295D" w:rsidRPr="006D7142" w:rsidRDefault="000B295D" w:rsidP="000B295D">
            <w:pPr>
              <w:keepNext/>
              <w:keepLines/>
              <w:autoSpaceDE w:val="0"/>
              <w:autoSpaceDN w:val="0"/>
              <w:adjustRightInd w:val="0"/>
              <w:spacing w:before="120" w:after="0" w:line="240" w:lineRule="auto"/>
              <w:rPr>
                <w:rFonts w:ascii="Public Sans" w:hAnsi="Public Sans" w:cstheme="minorHAnsi"/>
                <w:color w:val="FF0000"/>
                <w:szCs w:val="22"/>
              </w:rPr>
            </w:pPr>
            <w:r w:rsidRPr="006D7142">
              <w:rPr>
                <w:rFonts w:ascii="Public Sans" w:hAnsi="Public Sans" w:cstheme="minorHAnsi"/>
                <w:szCs w:val="22"/>
              </w:rPr>
              <w:t>Client service Officers</w:t>
            </w:r>
          </w:p>
        </w:tc>
        <w:tc>
          <w:tcPr>
            <w:tcW w:w="6945" w:type="dxa"/>
            <w:tcBorders>
              <w:top w:val="single" w:sz="8" w:space="0" w:color="auto"/>
              <w:bottom w:val="single" w:sz="8" w:space="0" w:color="BFBFBF" w:themeColor="background1" w:themeShade="BF"/>
            </w:tcBorders>
          </w:tcPr>
          <w:p w14:paraId="38C8A2C5" w14:textId="77777777" w:rsidR="005F1920" w:rsidRPr="006D7142" w:rsidRDefault="000B295D" w:rsidP="005F1920">
            <w:pPr>
              <w:pStyle w:val="TableText"/>
              <w:numPr>
                <w:ilvl w:val="0"/>
                <w:numId w:val="35"/>
              </w:numPr>
              <w:rPr>
                <w:rFonts w:ascii="Public Sans" w:hAnsi="Public Sans" w:cstheme="minorHAnsi"/>
                <w:b/>
                <w:sz w:val="22"/>
                <w:szCs w:val="22"/>
              </w:rPr>
            </w:pPr>
            <w:r w:rsidRPr="006D7142">
              <w:rPr>
                <w:rFonts w:ascii="Public Sans" w:hAnsi="Public Sans" w:cstheme="minorHAnsi"/>
                <w:sz w:val="22"/>
                <w:szCs w:val="22"/>
              </w:rPr>
              <w:t xml:space="preserve">Support </w:t>
            </w:r>
            <w:r w:rsidR="005F1920" w:rsidRPr="006D7142">
              <w:rPr>
                <w:rFonts w:ascii="Public Sans" w:hAnsi="Public Sans" w:cstheme="minorHAnsi"/>
                <w:sz w:val="22"/>
                <w:szCs w:val="22"/>
              </w:rPr>
              <w:t>C</w:t>
            </w:r>
            <w:r w:rsidRPr="006D7142">
              <w:rPr>
                <w:rFonts w:ascii="Public Sans" w:hAnsi="Public Sans" w:cstheme="minorHAnsi"/>
                <w:sz w:val="22"/>
                <w:szCs w:val="22"/>
              </w:rPr>
              <w:t xml:space="preserve">lient </w:t>
            </w:r>
            <w:r w:rsidR="005F1920" w:rsidRPr="006D7142">
              <w:rPr>
                <w:rFonts w:ascii="Public Sans" w:hAnsi="Public Sans" w:cstheme="minorHAnsi"/>
                <w:sz w:val="22"/>
                <w:szCs w:val="22"/>
              </w:rPr>
              <w:t>S</w:t>
            </w:r>
            <w:r w:rsidRPr="006D7142">
              <w:rPr>
                <w:rFonts w:ascii="Public Sans" w:hAnsi="Public Sans" w:cstheme="minorHAnsi"/>
                <w:sz w:val="22"/>
                <w:szCs w:val="22"/>
              </w:rPr>
              <w:t xml:space="preserve">ervice </w:t>
            </w:r>
            <w:r w:rsidR="005F1920" w:rsidRPr="006D7142">
              <w:rPr>
                <w:rFonts w:ascii="Public Sans" w:hAnsi="Public Sans" w:cstheme="minorHAnsi"/>
                <w:sz w:val="22"/>
                <w:szCs w:val="22"/>
              </w:rPr>
              <w:t>O</w:t>
            </w:r>
            <w:r w:rsidRPr="006D7142">
              <w:rPr>
                <w:rFonts w:ascii="Public Sans" w:hAnsi="Public Sans" w:cstheme="minorHAnsi"/>
                <w:sz w:val="22"/>
                <w:szCs w:val="22"/>
              </w:rPr>
              <w:t>fficers in dealing with clients with complex support needs</w:t>
            </w:r>
          </w:p>
          <w:p w14:paraId="53D13801" w14:textId="2471B20F" w:rsidR="000B295D" w:rsidRPr="006D7142" w:rsidRDefault="000B295D" w:rsidP="005F1920">
            <w:pPr>
              <w:pStyle w:val="TableText"/>
              <w:numPr>
                <w:ilvl w:val="0"/>
                <w:numId w:val="35"/>
              </w:numPr>
              <w:rPr>
                <w:rFonts w:ascii="Public Sans" w:hAnsi="Public Sans" w:cstheme="minorHAnsi"/>
                <w:b/>
                <w:szCs w:val="22"/>
              </w:rPr>
            </w:pPr>
            <w:r w:rsidRPr="006D7142">
              <w:rPr>
                <w:rFonts w:ascii="Public Sans" w:hAnsi="Public Sans" w:cstheme="minorHAnsi"/>
                <w:sz w:val="22"/>
                <w:szCs w:val="22"/>
              </w:rPr>
              <w:t>Build team effectiveness and capability</w:t>
            </w:r>
          </w:p>
        </w:tc>
      </w:tr>
      <w:tr w:rsidR="000B295D" w:rsidRPr="006D7142" w14:paraId="5EA55E5E" w14:textId="77777777" w:rsidTr="000B295D">
        <w:trPr>
          <w:cantSplit/>
        </w:trPr>
        <w:tc>
          <w:tcPr>
            <w:tcW w:w="3600" w:type="dxa"/>
            <w:tcBorders>
              <w:top w:val="single" w:sz="8" w:space="0" w:color="BFBFBF" w:themeColor="background1" w:themeShade="BF"/>
              <w:bottom w:val="single" w:sz="8" w:space="0" w:color="BCBEC0"/>
            </w:tcBorders>
          </w:tcPr>
          <w:p w14:paraId="6BD7A423" w14:textId="7DCD6B76" w:rsidR="000B295D" w:rsidRPr="006D7142" w:rsidRDefault="000B295D" w:rsidP="000B295D">
            <w:pPr>
              <w:pStyle w:val="TableText"/>
              <w:keepNext/>
              <w:rPr>
                <w:rFonts w:ascii="Public Sans" w:hAnsi="Public Sans" w:cstheme="minorHAnsi"/>
                <w:b/>
                <w:sz w:val="22"/>
                <w:szCs w:val="22"/>
              </w:rPr>
            </w:pPr>
            <w:r w:rsidRPr="006D7142">
              <w:rPr>
                <w:rFonts w:ascii="Public Sans" w:hAnsi="Public Sans" w:cstheme="minorHAnsi"/>
                <w:sz w:val="22"/>
                <w:szCs w:val="22"/>
              </w:rPr>
              <w:t>Senior Client Service Officers</w:t>
            </w:r>
          </w:p>
        </w:tc>
        <w:tc>
          <w:tcPr>
            <w:tcW w:w="6945" w:type="dxa"/>
            <w:tcBorders>
              <w:top w:val="single" w:sz="8" w:space="0" w:color="BFBFBF" w:themeColor="background1" w:themeShade="BF"/>
              <w:bottom w:val="single" w:sz="8" w:space="0" w:color="BCBEC0"/>
            </w:tcBorders>
          </w:tcPr>
          <w:p w14:paraId="4AC0B9D1" w14:textId="4CA09A5B" w:rsidR="000B295D" w:rsidRPr="006D7142" w:rsidRDefault="000B295D" w:rsidP="000B295D">
            <w:pPr>
              <w:pStyle w:val="ListParagraph"/>
              <w:keepNext/>
              <w:keepLines/>
              <w:numPr>
                <w:ilvl w:val="0"/>
                <w:numId w:val="35"/>
              </w:numPr>
              <w:autoSpaceDE w:val="0"/>
              <w:autoSpaceDN w:val="0"/>
              <w:adjustRightInd w:val="0"/>
              <w:spacing w:before="120" w:after="0" w:line="240" w:lineRule="auto"/>
              <w:rPr>
                <w:rFonts w:ascii="Public Sans" w:hAnsi="Public Sans" w:cstheme="minorHAnsi"/>
                <w:b/>
                <w:szCs w:val="22"/>
              </w:rPr>
            </w:pPr>
            <w:r w:rsidRPr="006D7142">
              <w:rPr>
                <w:rFonts w:ascii="Public Sans" w:hAnsi="Public Sans" w:cstheme="minorHAnsi"/>
                <w:szCs w:val="22"/>
              </w:rPr>
              <w:t>To share information and expertise</w:t>
            </w:r>
          </w:p>
        </w:tc>
      </w:tr>
      <w:tr w:rsidR="000B295D" w:rsidRPr="006D7142" w14:paraId="6B0338F0" w14:textId="77777777" w:rsidTr="000B295D">
        <w:trPr>
          <w:cantSplit/>
        </w:trPr>
        <w:tc>
          <w:tcPr>
            <w:tcW w:w="3600" w:type="dxa"/>
            <w:tcBorders>
              <w:top w:val="single" w:sz="8" w:space="0" w:color="BFBFBF" w:themeColor="background1" w:themeShade="BF"/>
              <w:bottom w:val="single" w:sz="8" w:space="0" w:color="BCBEC0"/>
            </w:tcBorders>
          </w:tcPr>
          <w:p w14:paraId="09221504" w14:textId="4BA45A8A" w:rsidR="000B295D" w:rsidRPr="006D7142" w:rsidRDefault="000B295D" w:rsidP="000B295D">
            <w:pPr>
              <w:pStyle w:val="TableText"/>
              <w:keepNext/>
              <w:rPr>
                <w:rFonts w:ascii="Public Sans" w:hAnsi="Public Sans" w:cstheme="minorHAnsi"/>
                <w:b/>
                <w:sz w:val="22"/>
                <w:szCs w:val="22"/>
              </w:rPr>
            </w:pPr>
            <w:r w:rsidRPr="006D7142">
              <w:rPr>
                <w:rFonts w:ascii="Public Sans" w:hAnsi="Public Sans" w:cstheme="minorHAnsi"/>
                <w:sz w:val="22"/>
                <w:szCs w:val="22"/>
              </w:rPr>
              <w:t xml:space="preserve">Other client service teams across </w:t>
            </w:r>
            <w:r w:rsidR="00D05CBE" w:rsidRPr="006D7142">
              <w:rPr>
                <w:rFonts w:ascii="Public Sans" w:hAnsi="Public Sans" w:cstheme="minorHAnsi"/>
                <w:sz w:val="22"/>
                <w:szCs w:val="22"/>
              </w:rPr>
              <w:t>the department</w:t>
            </w:r>
          </w:p>
        </w:tc>
        <w:tc>
          <w:tcPr>
            <w:tcW w:w="6945" w:type="dxa"/>
            <w:tcBorders>
              <w:top w:val="single" w:sz="8" w:space="0" w:color="BFBFBF" w:themeColor="background1" w:themeShade="BF"/>
              <w:bottom w:val="single" w:sz="8" w:space="0" w:color="BCBEC0"/>
            </w:tcBorders>
          </w:tcPr>
          <w:p w14:paraId="7B8CFE43" w14:textId="075418F3" w:rsidR="000B295D" w:rsidRPr="006D7142" w:rsidRDefault="000B295D" w:rsidP="000B295D">
            <w:pPr>
              <w:pStyle w:val="TableText"/>
              <w:keepNext/>
              <w:numPr>
                <w:ilvl w:val="0"/>
                <w:numId w:val="35"/>
              </w:numPr>
              <w:spacing w:before="120" w:after="0" w:line="240" w:lineRule="auto"/>
              <w:rPr>
                <w:rFonts w:ascii="Public Sans" w:hAnsi="Public Sans" w:cstheme="minorHAnsi"/>
                <w:b/>
                <w:sz w:val="22"/>
                <w:szCs w:val="22"/>
              </w:rPr>
            </w:pPr>
            <w:r w:rsidRPr="006D7142">
              <w:rPr>
                <w:rFonts w:ascii="Public Sans" w:hAnsi="Public Sans" w:cstheme="minorHAnsi"/>
                <w:sz w:val="22"/>
                <w:szCs w:val="22"/>
              </w:rPr>
              <w:t>Contribute to integrated and effective service delivery with longer term benefits for clients and communities</w:t>
            </w:r>
          </w:p>
        </w:tc>
      </w:tr>
      <w:tr w:rsidR="000B295D" w:rsidRPr="006D7142" w14:paraId="5BD79663" w14:textId="77777777" w:rsidTr="000B295D">
        <w:tc>
          <w:tcPr>
            <w:tcW w:w="3600" w:type="dxa"/>
            <w:tcBorders>
              <w:top w:val="single" w:sz="8" w:space="0" w:color="BCBEC0"/>
              <w:left w:val="nil"/>
              <w:bottom w:val="single" w:sz="8" w:space="0" w:color="BCBEC0"/>
              <w:right w:val="nil"/>
            </w:tcBorders>
            <w:shd w:val="clear" w:color="auto" w:fill="BCBEC0"/>
            <w:hideMark/>
          </w:tcPr>
          <w:p w14:paraId="75AC3EE7" w14:textId="77777777" w:rsidR="000B295D" w:rsidRPr="006D7142" w:rsidRDefault="000B295D">
            <w:pPr>
              <w:pStyle w:val="TableText"/>
              <w:rPr>
                <w:rFonts w:ascii="Public Sans" w:hAnsi="Public Sans" w:cstheme="minorHAnsi"/>
                <w:b/>
                <w:sz w:val="22"/>
                <w:szCs w:val="22"/>
              </w:rPr>
            </w:pPr>
            <w:bookmarkStart w:id="8" w:name="Start"/>
            <w:bookmarkStart w:id="9" w:name="ExternalRelationships"/>
            <w:bookmarkEnd w:id="8"/>
            <w:r w:rsidRPr="006D7142">
              <w:rPr>
                <w:rFonts w:ascii="Public Sans" w:hAnsi="Public Sans" w:cstheme="minorHAnsi"/>
                <w:b/>
                <w:sz w:val="22"/>
                <w:szCs w:val="22"/>
              </w:rPr>
              <w:t>External</w:t>
            </w:r>
          </w:p>
        </w:tc>
        <w:tc>
          <w:tcPr>
            <w:tcW w:w="6945" w:type="dxa"/>
            <w:tcBorders>
              <w:top w:val="single" w:sz="8" w:space="0" w:color="BCBEC0"/>
              <w:left w:val="nil"/>
              <w:bottom w:val="single" w:sz="8" w:space="0" w:color="BCBEC0"/>
              <w:right w:val="nil"/>
            </w:tcBorders>
            <w:shd w:val="clear" w:color="auto" w:fill="BCBEC0"/>
          </w:tcPr>
          <w:p w14:paraId="6BF61D86" w14:textId="77777777" w:rsidR="000B295D" w:rsidRPr="006D7142" w:rsidRDefault="000B295D">
            <w:pPr>
              <w:pStyle w:val="TableText"/>
              <w:rPr>
                <w:rFonts w:ascii="Public Sans" w:hAnsi="Public Sans" w:cstheme="minorHAnsi"/>
                <w:b/>
                <w:sz w:val="22"/>
                <w:szCs w:val="22"/>
              </w:rPr>
            </w:pPr>
          </w:p>
        </w:tc>
      </w:tr>
      <w:bookmarkEnd w:id="9"/>
      <w:tr w:rsidR="000B295D" w:rsidRPr="006D7142" w14:paraId="7278F6C6" w14:textId="77777777" w:rsidTr="00856C9A">
        <w:tc>
          <w:tcPr>
            <w:tcW w:w="3600" w:type="dxa"/>
            <w:tcBorders>
              <w:top w:val="single" w:sz="8" w:space="0" w:color="auto"/>
              <w:bottom w:val="single" w:sz="8" w:space="0" w:color="BFBFBF" w:themeColor="background1" w:themeShade="BF"/>
            </w:tcBorders>
          </w:tcPr>
          <w:p w14:paraId="78B145C7" w14:textId="701C1953" w:rsidR="000B295D" w:rsidRPr="006D7142" w:rsidRDefault="000B295D" w:rsidP="000B295D">
            <w:pPr>
              <w:pStyle w:val="TableText"/>
              <w:rPr>
                <w:rFonts w:ascii="Public Sans" w:hAnsi="Public Sans" w:cstheme="minorHAnsi"/>
                <w:b/>
                <w:sz w:val="22"/>
                <w:szCs w:val="22"/>
              </w:rPr>
            </w:pPr>
            <w:r w:rsidRPr="006D7142">
              <w:rPr>
                <w:rFonts w:ascii="Public Sans" w:hAnsi="Public Sans" w:cstheme="minorHAnsi"/>
                <w:sz w:val="22"/>
                <w:szCs w:val="22"/>
              </w:rPr>
              <w:t>Client advocates</w:t>
            </w:r>
          </w:p>
        </w:tc>
        <w:tc>
          <w:tcPr>
            <w:tcW w:w="6945" w:type="dxa"/>
            <w:tcBorders>
              <w:top w:val="single" w:sz="8" w:space="0" w:color="auto"/>
              <w:bottom w:val="single" w:sz="8" w:space="0" w:color="BFBFBF" w:themeColor="background1" w:themeShade="BF"/>
            </w:tcBorders>
          </w:tcPr>
          <w:p w14:paraId="797D48FB" w14:textId="77777777" w:rsidR="000B295D" w:rsidRPr="006D7142" w:rsidRDefault="000B295D" w:rsidP="000B295D">
            <w:pPr>
              <w:pStyle w:val="TableText"/>
              <w:numPr>
                <w:ilvl w:val="0"/>
                <w:numId w:val="33"/>
              </w:numPr>
              <w:rPr>
                <w:rFonts w:ascii="Public Sans" w:hAnsi="Public Sans" w:cstheme="minorHAnsi"/>
                <w:sz w:val="22"/>
                <w:szCs w:val="22"/>
              </w:rPr>
            </w:pPr>
            <w:r w:rsidRPr="006D7142">
              <w:rPr>
                <w:rFonts w:ascii="Public Sans" w:hAnsi="Public Sans" w:cstheme="minorHAnsi"/>
                <w:sz w:val="22"/>
                <w:szCs w:val="22"/>
              </w:rPr>
              <w:t>Tailoring support to individual client needs</w:t>
            </w:r>
          </w:p>
          <w:p w14:paraId="43CEE020" w14:textId="5423B901" w:rsidR="000B295D" w:rsidRPr="006D7142" w:rsidRDefault="000B295D" w:rsidP="000B295D">
            <w:pPr>
              <w:pStyle w:val="TableText"/>
              <w:numPr>
                <w:ilvl w:val="0"/>
                <w:numId w:val="33"/>
              </w:numPr>
              <w:rPr>
                <w:rFonts w:ascii="Public Sans" w:hAnsi="Public Sans" w:cstheme="minorHAnsi"/>
                <w:sz w:val="22"/>
                <w:szCs w:val="22"/>
              </w:rPr>
            </w:pPr>
            <w:r w:rsidRPr="006D7142">
              <w:rPr>
                <w:rFonts w:ascii="Public Sans" w:hAnsi="Public Sans" w:cstheme="minorHAnsi"/>
                <w:sz w:val="22"/>
                <w:szCs w:val="24"/>
              </w:rPr>
              <w:t>Identifying opportunities for service improvements</w:t>
            </w:r>
          </w:p>
        </w:tc>
      </w:tr>
      <w:tr w:rsidR="000B295D" w:rsidRPr="006D7142" w14:paraId="2D7CA6ED" w14:textId="77777777" w:rsidTr="00856C9A">
        <w:tc>
          <w:tcPr>
            <w:tcW w:w="3600" w:type="dxa"/>
            <w:tcBorders>
              <w:top w:val="single" w:sz="8" w:space="0" w:color="BFBFBF" w:themeColor="background1" w:themeShade="BF"/>
              <w:bottom w:val="single" w:sz="8" w:space="0" w:color="BCBEC0"/>
            </w:tcBorders>
          </w:tcPr>
          <w:p w14:paraId="25A01141" w14:textId="7ACBDAB5" w:rsidR="000B295D" w:rsidRPr="006D7142" w:rsidRDefault="000B295D" w:rsidP="000B295D">
            <w:pPr>
              <w:pStyle w:val="TableText"/>
              <w:rPr>
                <w:rFonts w:ascii="Public Sans" w:hAnsi="Public Sans" w:cstheme="minorHAnsi"/>
                <w:b/>
                <w:sz w:val="22"/>
                <w:szCs w:val="22"/>
              </w:rPr>
            </w:pPr>
            <w:r w:rsidRPr="006D7142">
              <w:rPr>
                <w:rFonts w:ascii="Public Sans" w:hAnsi="Public Sans" w:cstheme="minorHAnsi"/>
                <w:sz w:val="22"/>
                <w:szCs w:val="22"/>
              </w:rPr>
              <w:t>Other professional specialists</w:t>
            </w:r>
          </w:p>
        </w:tc>
        <w:tc>
          <w:tcPr>
            <w:tcW w:w="6945" w:type="dxa"/>
            <w:tcBorders>
              <w:top w:val="single" w:sz="8" w:space="0" w:color="BFBFBF" w:themeColor="background1" w:themeShade="BF"/>
              <w:bottom w:val="single" w:sz="8" w:space="0" w:color="BCBEC0"/>
            </w:tcBorders>
          </w:tcPr>
          <w:p w14:paraId="5F90E165" w14:textId="77777777" w:rsidR="000B295D" w:rsidRPr="006D7142" w:rsidRDefault="000B295D" w:rsidP="000B295D">
            <w:pPr>
              <w:pStyle w:val="TableText"/>
              <w:numPr>
                <w:ilvl w:val="0"/>
                <w:numId w:val="33"/>
              </w:numPr>
              <w:rPr>
                <w:rFonts w:ascii="Public Sans" w:hAnsi="Public Sans" w:cstheme="minorHAnsi"/>
                <w:sz w:val="22"/>
                <w:szCs w:val="22"/>
              </w:rPr>
            </w:pPr>
            <w:r w:rsidRPr="006D7142">
              <w:rPr>
                <w:rFonts w:ascii="Public Sans" w:hAnsi="Public Sans" w:cstheme="minorHAnsi"/>
                <w:sz w:val="22"/>
                <w:szCs w:val="22"/>
              </w:rPr>
              <w:t>Support tenancy and community participation initiatives</w:t>
            </w:r>
          </w:p>
          <w:p w14:paraId="08C29FE4" w14:textId="3D64D01E" w:rsidR="000B295D" w:rsidRPr="006D7142" w:rsidRDefault="000B295D" w:rsidP="000B295D">
            <w:pPr>
              <w:pStyle w:val="TableText"/>
              <w:numPr>
                <w:ilvl w:val="0"/>
                <w:numId w:val="33"/>
              </w:numPr>
              <w:rPr>
                <w:rFonts w:ascii="Public Sans" w:hAnsi="Public Sans" w:cstheme="minorHAnsi"/>
                <w:sz w:val="22"/>
                <w:szCs w:val="22"/>
              </w:rPr>
            </w:pPr>
            <w:r w:rsidRPr="006D7142">
              <w:rPr>
                <w:rFonts w:ascii="Public Sans" w:hAnsi="Public Sans" w:cstheme="minorHAnsi"/>
                <w:sz w:val="22"/>
                <w:szCs w:val="24"/>
              </w:rPr>
              <w:t>Coordinating case management to ensure continuity of support for clients</w:t>
            </w:r>
          </w:p>
        </w:tc>
      </w:tr>
    </w:tbl>
    <w:p w14:paraId="5D3EB269" w14:textId="31500572" w:rsidR="00142BAB" w:rsidRPr="006D7142" w:rsidRDefault="00142BAB" w:rsidP="00142BAB">
      <w:pPr>
        <w:pStyle w:val="Heading1"/>
        <w:rPr>
          <w:rFonts w:ascii="Public Sans" w:hAnsi="Public Sans" w:cstheme="minorHAnsi"/>
          <w:sz w:val="24"/>
          <w:szCs w:val="24"/>
        </w:rPr>
      </w:pPr>
      <w:r w:rsidRPr="006D7142">
        <w:rPr>
          <w:rFonts w:ascii="Public Sans" w:hAnsi="Public Sans" w:cstheme="minorHAnsi"/>
          <w:sz w:val="24"/>
          <w:szCs w:val="24"/>
        </w:rPr>
        <w:lastRenderedPageBreak/>
        <w:t>Role dimensions</w:t>
      </w:r>
    </w:p>
    <w:p w14:paraId="494F4288" w14:textId="77777777" w:rsidR="00142BAB" w:rsidRPr="006D7142" w:rsidRDefault="00142BAB" w:rsidP="00E14D32">
      <w:pPr>
        <w:pStyle w:val="Heading2"/>
        <w:spacing w:after="0" w:line="240" w:lineRule="auto"/>
        <w:rPr>
          <w:rFonts w:ascii="Public Sans" w:hAnsi="Public Sans" w:cstheme="minorHAnsi"/>
          <w:color w:val="808080" w:themeColor="background1" w:themeShade="80"/>
          <w:szCs w:val="24"/>
          <w:u w:val="single"/>
        </w:rPr>
      </w:pPr>
      <w:r w:rsidRPr="006D7142">
        <w:rPr>
          <w:rFonts w:ascii="Public Sans" w:hAnsi="Public Sans" w:cstheme="minorHAnsi"/>
          <w:color w:val="808080" w:themeColor="background1" w:themeShade="80"/>
          <w:szCs w:val="24"/>
          <w:u w:val="single"/>
        </w:rPr>
        <w:t>Decision making</w:t>
      </w:r>
    </w:p>
    <w:p w14:paraId="00B833D3" w14:textId="637BE9D5" w:rsidR="006F390F" w:rsidRPr="006D7142" w:rsidRDefault="0099330A" w:rsidP="00E14D32">
      <w:pPr>
        <w:pStyle w:val="Heading2"/>
        <w:spacing w:after="0" w:line="240" w:lineRule="auto"/>
        <w:rPr>
          <w:rFonts w:ascii="Public Sans" w:hAnsi="Public Sans" w:cstheme="minorHAnsi"/>
          <w:b w:val="0"/>
          <w:bCs w:val="0"/>
          <w:iCs w:val="0"/>
          <w:color w:val="auto"/>
          <w:sz w:val="22"/>
          <w:szCs w:val="22"/>
        </w:rPr>
      </w:pPr>
      <w:r w:rsidRPr="006D7142">
        <w:rPr>
          <w:rFonts w:ascii="Public Sans" w:hAnsi="Public Sans" w:cstheme="minorHAnsi"/>
          <w:b w:val="0"/>
          <w:color w:val="auto"/>
          <w:sz w:val="22"/>
          <w:szCs w:val="22"/>
        </w:rPr>
        <w:t>In consultation with the line manager, this role has the authority to provide guidance, coaching, mentoring and on the job training to client service staff to ensure they are effectively and safely performing their roles</w:t>
      </w:r>
    </w:p>
    <w:p w14:paraId="35A8E604" w14:textId="77777777" w:rsidR="00C31C1C" w:rsidRPr="006D7142" w:rsidRDefault="00C31C1C" w:rsidP="00E14D32">
      <w:pPr>
        <w:pStyle w:val="Heading2"/>
        <w:spacing w:after="0" w:line="240" w:lineRule="auto"/>
        <w:rPr>
          <w:rFonts w:ascii="Public Sans" w:hAnsi="Public Sans" w:cstheme="minorHAnsi"/>
          <w:sz w:val="22"/>
          <w:szCs w:val="22"/>
          <w:u w:val="single"/>
        </w:rPr>
      </w:pPr>
    </w:p>
    <w:p w14:paraId="2B8D026B" w14:textId="77777777" w:rsidR="00142BAB" w:rsidRPr="006D7142" w:rsidRDefault="00142BAB" w:rsidP="00E14D32">
      <w:pPr>
        <w:pStyle w:val="Heading2"/>
        <w:spacing w:after="0" w:line="240" w:lineRule="auto"/>
        <w:rPr>
          <w:rFonts w:ascii="Public Sans" w:hAnsi="Public Sans" w:cstheme="minorHAnsi"/>
          <w:color w:val="808080" w:themeColor="background1" w:themeShade="80"/>
          <w:szCs w:val="24"/>
          <w:u w:val="single"/>
        </w:rPr>
      </w:pPr>
      <w:r w:rsidRPr="006D7142">
        <w:rPr>
          <w:rFonts w:ascii="Public Sans" w:hAnsi="Public Sans" w:cstheme="minorHAnsi"/>
          <w:color w:val="808080" w:themeColor="background1" w:themeShade="80"/>
          <w:szCs w:val="24"/>
          <w:u w:val="single"/>
        </w:rPr>
        <w:t>Reporting line</w:t>
      </w:r>
    </w:p>
    <w:p w14:paraId="01B0FDB1" w14:textId="77777777" w:rsidR="0099330A" w:rsidRPr="006D7142" w:rsidRDefault="0099330A" w:rsidP="00E14D32">
      <w:pPr>
        <w:spacing w:after="0" w:line="240" w:lineRule="auto"/>
        <w:rPr>
          <w:rFonts w:ascii="Public Sans" w:hAnsi="Public Sans" w:cstheme="minorHAnsi"/>
          <w:szCs w:val="22"/>
        </w:rPr>
      </w:pPr>
      <w:bookmarkStart w:id="10" w:name="ReportingLine"/>
      <w:bookmarkEnd w:id="10"/>
      <w:r w:rsidRPr="006D7142">
        <w:rPr>
          <w:rFonts w:ascii="Public Sans" w:hAnsi="Public Sans" w:cstheme="minorHAnsi"/>
          <w:szCs w:val="22"/>
        </w:rPr>
        <w:t>Reports to the Team Leader</w:t>
      </w:r>
    </w:p>
    <w:p w14:paraId="5CDD65BF" w14:textId="77777777" w:rsidR="006D7142" w:rsidRDefault="006D7142" w:rsidP="00E14D32">
      <w:pPr>
        <w:pStyle w:val="Heading2"/>
        <w:spacing w:after="0" w:line="240" w:lineRule="auto"/>
        <w:rPr>
          <w:rFonts w:ascii="Public Sans" w:hAnsi="Public Sans" w:cstheme="minorHAnsi"/>
          <w:color w:val="808080" w:themeColor="background1" w:themeShade="80"/>
          <w:szCs w:val="24"/>
          <w:u w:val="single"/>
        </w:rPr>
      </w:pPr>
    </w:p>
    <w:p w14:paraId="074FD662" w14:textId="08847732" w:rsidR="0003748A" w:rsidRPr="006D7142" w:rsidRDefault="0003748A" w:rsidP="00E14D32">
      <w:pPr>
        <w:pStyle w:val="Heading2"/>
        <w:spacing w:after="0" w:line="240" w:lineRule="auto"/>
        <w:rPr>
          <w:rFonts w:ascii="Public Sans" w:hAnsi="Public Sans" w:cstheme="minorHAnsi"/>
          <w:color w:val="808080" w:themeColor="background1" w:themeShade="80"/>
          <w:szCs w:val="24"/>
          <w:u w:val="single"/>
        </w:rPr>
      </w:pPr>
      <w:r w:rsidRPr="006D7142">
        <w:rPr>
          <w:rFonts w:ascii="Public Sans" w:hAnsi="Public Sans" w:cstheme="minorHAnsi"/>
          <w:color w:val="808080" w:themeColor="background1" w:themeShade="80"/>
          <w:szCs w:val="24"/>
          <w:u w:val="single"/>
        </w:rPr>
        <w:t>Direct reports</w:t>
      </w:r>
    </w:p>
    <w:p w14:paraId="1CE0177D" w14:textId="0A00DB88" w:rsidR="00513560" w:rsidRPr="006D7142" w:rsidRDefault="00513560" w:rsidP="00E14D32">
      <w:pPr>
        <w:spacing w:after="0" w:line="240" w:lineRule="auto"/>
        <w:rPr>
          <w:rFonts w:ascii="Public Sans" w:hAnsi="Public Sans" w:cstheme="minorHAnsi"/>
          <w:szCs w:val="22"/>
        </w:rPr>
      </w:pPr>
      <w:r w:rsidRPr="006D7142">
        <w:rPr>
          <w:rFonts w:ascii="Public Sans" w:hAnsi="Public Sans" w:cstheme="minorHAnsi"/>
          <w:szCs w:val="22"/>
        </w:rPr>
        <w:t>Nil</w:t>
      </w:r>
    </w:p>
    <w:p w14:paraId="3BA2254C" w14:textId="77777777" w:rsidR="003D6BF0" w:rsidRPr="006D7142" w:rsidRDefault="003D6BF0" w:rsidP="00E14D32">
      <w:pPr>
        <w:pStyle w:val="Heading2"/>
        <w:spacing w:after="0" w:line="240" w:lineRule="auto"/>
        <w:rPr>
          <w:rFonts w:ascii="Public Sans" w:hAnsi="Public Sans" w:cstheme="minorHAnsi"/>
          <w:color w:val="auto"/>
          <w:szCs w:val="24"/>
        </w:rPr>
      </w:pPr>
    </w:p>
    <w:p w14:paraId="68F15792" w14:textId="57A3A29C" w:rsidR="0003748A" w:rsidRPr="006D7142" w:rsidRDefault="0003748A" w:rsidP="00E14D32">
      <w:pPr>
        <w:pStyle w:val="Heading2"/>
        <w:spacing w:after="0" w:line="240" w:lineRule="auto"/>
        <w:rPr>
          <w:rFonts w:ascii="Public Sans" w:hAnsi="Public Sans" w:cstheme="minorHAnsi"/>
          <w:color w:val="808080" w:themeColor="background1" w:themeShade="80"/>
          <w:szCs w:val="24"/>
          <w:u w:val="single"/>
        </w:rPr>
      </w:pPr>
      <w:r w:rsidRPr="006D7142">
        <w:rPr>
          <w:rFonts w:ascii="Public Sans" w:hAnsi="Public Sans" w:cstheme="minorHAnsi"/>
          <w:color w:val="808080" w:themeColor="background1" w:themeShade="80"/>
          <w:szCs w:val="24"/>
          <w:u w:val="single"/>
        </w:rPr>
        <w:t>Budget/Expenditure</w:t>
      </w:r>
    </w:p>
    <w:p w14:paraId="0DB9670A" w14:textId="60201D91" w:rsidR="00513560" w:rsidRPr="006D7142" w:rsidRDefault="0099330A" w:rsidP="00E14D32">
      <w:pPr>
        <w:spacing w:after="0" w:line="240" w:lineRule="auto"/>
        <w:rPr>
          <w:rFonts w:ascii="Public Sans" w:hAnsi="Public Sans" w:cstheme="minorHAnsi"/>
          <w:szCs w:val="22"/>
        </w:rPr>
      </w:pPr>
      <w:bookmarkStart w:id="11" w:name="Budget"/>
      <w:bookmarkEnd w:id="11"/>
      <w:r w:rsidRPr="006D7142">
        <w:rPr>
          <w:rFonts w:ascii="Public Sans" w:hAnsi="Public Sans" w:cstheme="minorHAnsi"/>
          <w:szCs w:val="22"/>
        </w:rPr>
        <w:t xml:space="preserve">Refer to </w:t>
      </w:r>
      <w:r w:rsidR="00DF047F" w:rsidRPr="006D7142">
        <w:rPr>
          <w:rFonts w:ascii="Public Sans" w:hAnsi="Public Sans" w:cstheme="minorHAnsi"/>
          <w:szCs w:val="22"/>
        </w:rPr>
        <w:t xml:space="preserve">Department </w:t>
      </w:r>
      <w:r w:rsidRPr="006D7142">
        <w:rPr>
          <w:rFonts w:ascii="Public Sans" w:hAnsi="Public Sans" w:cstheme="minorHAnsi"/>
          <w:szCs w:val="22"/>
        </w:rPr>
        <w:t>Delegations</w:t>
      </w:r>
    </w:p>
    <w:p w14:paraId="6CD1C565" w14:textId="77777777" w:rsidR="00653588" w:rsidRPr="006D7142" w:rsidRDefault="00653588" w:rsidP="00E14D32">
      <w:pPr>
        <w:spacing w:after="0" w:line="240" w:lineRule="auto"/>
        <w:rPr>
          <w:rFonts w:ascii="Public Sans" w:hAnsi="Public Sans" w:cstheme="minorHAnsi"/>
          <w:szCs w:val="22"/>
        </w:rPr>
      </w:pPr>
    </w:p>
    <w:p w14:paraId="18B199E4" w14:textId="77777777" w:rsidR="0003748A" w:rsidRPr="006D7142" w:rsidRDefault="0003748A" w:rsidP="003D6BF0">
      <w:pPr>
        <w:pStyle w:val="Heading1"/>
        <w:spacing w:after="0" w:line="240" w:lineRule="auto"/>
        <w:rPr>
          <w:rFonts w:ascii="Public Sans" w:hAnsi="Public Sans"/>
          <w:sz w:val="24"/>
          <w:szCs w:val="24"/>
        </w:rPr>
      </w:pPr>
      <w:r w:rsidRPr="006D7142">
        <w:rPr>
          <w:rFonts w:ascii="Public Sans" w:hAnsi="Public Sans"/>
          <w:sz w:val="24"/>
          <w:szCs w:val="24"/>
        </w:rPr>
        <w:t>Essential requirements</w:t>
      </w:r>
    </w:p>
    <w:p w14:paraId="3E2D829D" w14:textId="5D8ED601" w:rsidR="00DF047F" w:rsidRPr="006D7142" w:rsidRDefault="00DF047F" w:rsidP="003D6BF0">
      <w:pPr>
        <w:tabs>
          <w:tab w:val="left" w:pos="2925"/>
        </w:tabs>
        <w:spacing w:after="0" w:line="240" w:lineRule="auto"/>
        <w:rPr>
          <w:rFonts w:ascii="Public Sans" w:hAnsi="Public Sans" w:cstheme="minorHAnsi"/>
          <w:szCs w:val="22"/>
        </w:rPr>
      </w:pPr>
      <w:r w:rsidRPr="006D7142">
        <w:rPr>
          <w:rFonts w:ascii="Public Sans" w:hAnsi="Public Sans" w:cstheme="minorHAnsi"/>
          <w:szCs w:val="22"/>
        </w:rPr>
        <w:t xml:space="preserve">Current </w:t>
      </w:r>
      <w:r w:rsidR="006D7142" w:rsidRPr="006D7142">
        <w:rPr>
          <w:rFonts w:ascii="Public Sans" w:hAnsi="Public Sans" w:cstheme="minorHAnsi"/>
          <w:szCs w:val="22"/>
        </w:rPr>
        <w:t xml:space="preserve">NSW </w:t>
      </w:r>
      <w:r w:rsidRPr="006D7142">
        <w:rPr>
          <w:rFonts w:ascii="Public Sans" w:hAnsi="Public Sans" w:cstheme="minorHAnsi"/>
          <w:szCs w:val="22"/>
        </w:rPr>
        <w:t>driver’s licence</w:t>
      </w:r>
    </w:p>
    <w:p w14:paraId="4C351FAC" w14:textId="77777777" w:rsidR="003D6BF0" w:rsidRPr="006D7142" w:rsidRDefault="003D6BF0" w:rsidP="003F1151">
      <w:pPr>
        <w:jc w:val="both"/>
        <w:rPr>
          <w:rFonts w:ascii="Public Sans" w:hAnsi="Public Sans" w:cs="Arial"/>
        </w:rPr>
      </w:pPr>
    </w:p>
    <w:p w14:paraId="6C8296A3" w14:textId="77777777" w:rsidR="006D7142" w:rsidRPr="00C942B9" w:rsidRDefault="006D7142" w:rsidP="006D7142">
      <w:pPr>
        <w:jc w:val="both"/>
        <w:rPr>
          <w:rFonts w:ascii="Public Sans" w:hAnsi="Public Sans" w:cstheme="minorHAnsi"/>
        </w:rPr>
      </w:pPr>
      <w:r w:rsidRPr="00C942B9">
        <w:rPr>
          <w:rFonts w:ascii="Public Sans" w:hAnsi="Public Sans" w:cstheme="minorHAnsi"/>
        </w:rPr>
        <w:t>Appointments are subject to reference checks. Some roles may also require the following checks/ clearances:</w:t>
      </w:r>
    </w:p>
    <w:p w14:paraId="68D9ED70" w14:textId="77777777" w:rsidR="006D7142" w:rsidRPr="00C942B9" w:rsidRDefault="006D7142" w:rsidP="006D7142">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0B76D634" w14:textId="77777777" w:rsidR="006D7142" w:rsidRPr="00C942B9" w:rsidRDefault="006D7142" w:rsidP="006D7142">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Working with Children Check clearance in accordance with the Child Protection (Working with Children) Act 2012</w:t>
      </w:r>
    </w:p>
    <w:p w14:paraId="740233BE" w14:textId="77777777" w:rsidR="006D7142" w:rsidRPr="006D7142" w:rsidRDefault="006D7142" w:rsidP="001D133A">
      <w:pPr>
        <w:pStyle w:val="Heading1"/>
        <w:rPr>
          <w:rFonts w:ascii="Public Sans" w:hAnsi="Public Sans"/>
          <w:sz w:val="24"/>
          <w:szCs w:val="24"/>
        </w:rPr>
      </w:pPr>
    </w:p>
    <w:p w14:paraId="4EF4067A" w14:textId="4BB4D953" w:rsidR="001D133A" w:rsidRPr="006D7142" w:rsidRDefault="001D133A" w:rsidP="001D133A">
      <w:pPr>
        <w:pStyle w:val="Heading1"/>
        <w:rPr>
          <w:rFonts w:ascii="Public Sans" w:hAnsi="Public Sans"/>
          <w:sz w:val="24"/>
          <w:szCs w:val="24"/>
        </w:rPr>
      </w:pPr>
      <w:r w:rsidRPr="006D7142">
        <w:rPr>
          <w:rFonts w:ascii="Public Sans" w:hAnsi="Public Sans"/>
          <w:sz w:val="24"/>
          <w:szCs w:val="24"/>
        </w:rPr>
        <w:t>Capabilities for the role</w:t>
      </w:r>
    </w:p>
    <w:p w14:paraId="02A9479F" w14:textId="77777777" w:rsidR="00197F8F" w:rsidRPr="006D7142" w:rsidRDefault="00513560" w:rsidP="00197F8F">
      <w:pPr>
        <w:rPr>
          <w:rFonts w:ascii="Public Sans" w:hAnsi="Public Sans" w:cs="Arial"/>
        </w:rPr>
      </w:pPr>
      <w:r w:rsidRPr="006D7142">
        <w:rPr>
          <w:rFonts w:ascii="Public Sans" w:hAnsi="Public Sans" w:cs="Arial"/>
        </w:rPr>
        <w:t>T</w:t>
      </w:r>
      <w:r w:rsidR="00197F8F" w:rsidRPr="006D7142">
        <w:rPr>
          <w:rFonts w:ascii="Public Sans" w:hAnsi="Public Sans" w:cs="Arial"/>
        </w:rPr>
        <w:t xml:space="preserve">he </w:t>
      </w:r>
      <w:hyperlink r:id="rId11" w:history="1">
        <w:r w:rsidR="00197F8F" w:rsidRPr="006D7142">
          <w:rPr>
            <w:rStyle w:val="Hyperlink"/>
            <w:rFonts w:ascii="Public Sans" w:hAnsi="Public Sans" w:cs="Arial"/>
          </w:rPr>
          <w:t>NSW public sector capability framework</w:t>
        </w:r>
      </w:hyperlink>
      <w:r w:rsidR="00197F8F" w:rsidRPr="006D7142">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6D7142" w:rsidRDefault="00197F8F" w:rsidP="004714EE">
      <w:pPr>
        <w:rPr>
          <w:rFonts w:ascii="Public Sans" w:hAnsi="Public Sans" w:cs="Arial"/>
        </w:rPr>
      </w:pPr>
      <w:r w:rsidRPr="006D7142">
        <w:rPr>
          <w:rFonts w:ascii="Public Sans" w:hAnsi="Public Sans" w:cs="Arial"/>
        </w:rPr>
        <w:t xml:space="preserve">The capabilities are separated into </w:t>
      </w:r>
      <w:r w:rsidRPr="006D7142">
        <w:rPr>
          <w:rFonts w:ascii="Public Sans" w:hAnsi="Public Sans" w:cs="Arial"/>
          <w:b/>
        </w:rPr>
        <w:t>focus capabilities</w:t>
      </w:r>
      <w:r w:rsidRPr="006D7142">
        <w:rPr>
          <w:rFonts w:ascii="Public Sans" w:hAnsi="Public Sans" w:cs="Arial"/>
        </w:rPr>
        <w:t xml:space="preserve"> and </w:t>
      </w:r>
      <w:r w:rsidRPr="006D7142">
        <w:rPr>
          <w:rFonts w:ascii="Public Sans" w:hAnsi="Public Sans" w:cs="Arial"/>
          <w:b/>
        </w:rPr>
        <w:t>complementary capabilities</w:t>
      </w:r>
      <w:r w:rsidRPr="006D7142">
        <w:rPr>
          <w:rFonts w:ascii="Public Sans" w:hAnsi="Public Sans" w:cs="Arial"/>
        </w:rPr>
        <w:t xml:space="preserve">. </w:t>
      </w:r>
    </w:p>
    <w:p w14:paraId="6D2E9A88" w14:textId="77777777" w:rsidR="004714EE" w:rsidRPr="006D7142" w:rsidRDefault="004714EE" w:rsidP="004714EE">
      <w:pPr>
        <w:spacing w:after="0" w:line="240" w:lineRule="auto"/>
        <w:rPr>
          <w:rFonts w:ascii="Public Sans" w:hAnsi="Public Sans" w:cs="Arial"/>
        </w:rPr>
      </w:pPr>
    </w:p>
    <w:p w14:paraId="2FEB344A" w14:textId="5112AE5B" w:rsidR="00197F8F" w:rsidRPr="006D7142" w:rsidRDefault="00197F8F" w:rsidP="00D90A0B">
      <w:pPr>
        <w:pStyle w:val="Heading2"/>
        <w:spacing w:after="0" w:line="240" w:lineRule="auto"/>
        <w:rPr>
          <w:rFonts w:ascii="Public Sans" w:hAnsi="Public Sans"/>
          <w:color w:val="auto"/>
        </w:rPr>
      </w:pPr>
      <w:r w:rsidRPr="006D7142">
        <w:rPr>
          <w:rFonts w:ascii="Public Sans" w:hAnsi="Public Sans"/>
          <w:color w:val="auto"/>
        </w:rPr>
        <w:t xml:space="preserve">Focus </w:t>
      </w:r>
      <w:r w:rsidR="00D90A0B" w:rsidRPr="006D7142">
        <w:rPr>
          <w:rFonts w:ascii="Public Sans" w:hAnsi="Public Sans"/>
          <w:color w:val="auto"/>
        </w:rPr>
        <w:t>C</w:t>
      </w:r>
      <w:r w:rsidRPr="006D7142">
        <w:rPr>
          <w:rFonts w:ascii="Public Sans" w:hAnsi="Public Sans"/>
          <w:color w:val="auto"/>
        </w:rPr>
        <w:t>apabilities</w:t>
      </w:r>
    </w:p>
    <w:p w14:paraId="42BE67A3" w14:textId="77777777" w:rsidR="00D90A0B" w:rsidRPr="006D7142" w:rsidRDefault="00D90A0B" w:rsidP="00D90A0B">
      <w:pPr>
        <w:spacing w:after="0" w:line="240" w:lineRule="auto"/>
        <w:rPr>
          <w:rFonts w:ascii="Public Sans" w:hAnsi="Public Sans"/>
        </w:rPr>
      </w:pPr>
    </w:p>
    <w:p w14:paraId="6D41CF79" w14:textId="77777777" w:rsidR="00197F8F" w:rsidRPr="006D7142" w:rsidRDefault="00197F8F" w:rsidP="00D90A0B">
      <w:pPr>
        <w:pStyle w:val="PlainText"/>
        <w:spacing w:after="0" w:line="240" w:lineRule="auto"/>
        <w:rPr>
          <w:rFonts w:ascii="Public Sans" w:eastAsiaTheme="minorEastAsia" w:hAnsi="Public Sans" w:cs="Arial"/>
          <w:iCs/>
          <w:sz w:val="22"/>
          <w:szCs w:val="22"/>
          <w:lang w:val="en-US"/>
        </w:rPr>
      </w:pPr>
      <w:r w:rsidRPr="006D7142">
        <w:rPr>
          <w:rFonts w:ascii="Public Sans" w:eastAsiaTheme="minorEastAsia" w:hAnsi="Public Sans" w:cs="Arial"/>
          <w:iCs/>
          <w:sz w:val="22"/>
          <w:szCs w:val="22"/>
          <w:lang w:val="en-US"/>
        </w:rPr>
        <w:t xml:space="preserve">Focus capabilities are the capabilities considered the most important for effective performance of the role. These capabilities will be assessed at recruitment. </w:t>
      </w:r>
    </w:p>
    <w:p w14:paraId="10C157EF" w14:textId="676BE3A7" w:rsidR="00FE274C" w:rsidRPr="006D7142" w:rsidRDefault="00197F8F" w:rsidP="00D90A0B">
      <w:pPr>
        <w:pStyle w:val="PlainText"/>
        <w:spacing w:after="0" w:line="240" w:lineRule="auto"/>
        <w:rPr>
          <w:rFonts w:ascii="Public Sans" w:eastAsiaTheme="minorEastAsia" w:hAnsi="Public Sans" w:cs="Arial"/>
          <w:iCs/>
          <w:sz w:val="22"/>
          <w:szCs w:val="22"/>
          <w:lang w:val="en-US"/>
        </w:rPr>
      </w:pPr>
      <w:r w:rsidRPr="006D7142">
        <w:rPr>
          <w:rFonts w:ascii="Public Sans" w:eastAsiaTheme="minorEastAsia" w:hAnsi="Public Sans" w:cs="Arial"/>
          <w:iCs/>
          <w:sz w:val="22"/>
          <w:szCs w:val="22"/>
          <w:lang w:val="en-US"/>
        </w:rPr>
        <w:t>The focus capabilities for this role are shown below with a brief explanation of what each capability covers and the indicators describing the types of beh</w:t>
      </w:r>
      <w:r w:rsidR="00D7553E" w:rsidRPr="006D7142">
        <w:rPr>
          <w:rFonts w:ascii="Public Sans" w:eastAsiaTheme="minorEastAsia" w:hAnsi="Public Sans" w:cs="Arial"/>
          <w:iCs/>
          <w:sz w:val="22"/>
          <w:szCs w:val="22"/>
          <w:lang w:val="en-US"/>
        </w:rPr>
        <w:t>aviours expected at each level.</w:t>
      </w:r>
    </w:p>
    <w:p w14:paraId="3109615C" w14:textId="77777777" w:rsidR="008D1ED1" w:rsidRPr="006D7142" w:rsidRDefault="008D1ED1" w:rsidP="007878BD">
      <w:pPr>
        <w:pStyle w:val="PlainText"/>
        <w:spacing w:after="0" w:line="240" w:lineRule="auto"/>
        <w:rPr>
          <w:rFonts w:ascii="Public Sans" w:eastAsiaTheme="minorEastAsia" w:hAnsi="Public Sans" w:cs="Arial"/>
          <w:iCs/>
          <w:sz w:val="22"/>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6D7142" w14:paraId="0043FD06" w14:textId="77777777" w:rsidTr="00764DFC">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6D7142" w:rsidRDefault="00513560" w:rsidP="000A561C">
            <w:pPr>
              <w:pStyle w:val="TableTextWhite0"/>
              <w:keepNext/>
              <w:jc w:val="both"/>
              <w:rPr>
                <w:rFonts w:ascii="Public Sans" w:hAnsi="Public Sans" w:cs="Arial"/>
                <w:sz w:val="20"/>
              </w:rPr>
            </w:pPr>
            <w:r w:rsidRPr="006D7142">
              <w:rPr>
                <w:rFonts w:ascii="Public Sans" w:hAnsi="Public Sans" w:cs="Arial"/>
                <w:sz w:val="24"/>
                <w:szCs w:val="24"/>
              </w:rPr>
              <w:lastRenderedPageBreak/>
              <w:t>FOCUS CAPABILITIES</w:t>
            </w:r>
          </w:p>
        </w:tc>
      </w:tr>
      <w:tr w:rsidR="00513560" w:rsidRPr="006D7142" w14:paraId="286648A9" w14:textId="77777777" w:rsidTr="00764DF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6D7142" w:rsidRDefault="00513560" w:rsidP="000A561C">
            <w:pPr>
              <w:pStyle w:val="TableText"/>
              <w:keepNext/>
              <w:rPr>
                <w:rFonts w:ascii="Public Sans" w:hAnsi="Public Sans" w:cs="Arial"/>
                <w:b/>
                <w:sz w:val="24"/>
                <w:szCs w:val="24"/>
              </w:rPr>
            </w:pPr>
            <w:r w:rsidRPr="006D7142">
              <w:rPr>
                <w:rFonts w:ascii="Public Sans" w:hAnsi="Public Sans" w:cs="Arial"/>
                <w:b/>
              </w:rPr>
              <w:t>Capability group/sets</w:t>
            </w:r>
          </w:p>
        </w:tc>
        <w:tc>
          <w:tcPr>
            <w:tcW w:w="2977" w:type="dxa"/>
            <w:gridSpan w:val="2"/>
            <w:tcBorders>
              <w:bottom w:val="single" w:sz="12" w:space="0" w:color="auto"/>
            </w:tcBorders>
            <w:shd w:val="clear" w:color="auto" w:fill="BCBEC0"/>
            <w:hideMark/>
          </w:tcPr>
          <w:p w14:paraId="1E4D74D4" w14:textId="77777777" w:rsidR="00513560" w:rsidRPr="006D7142" w:rsidRDefault="00513560" w:rsidP="000A561C">
            <w:pPr>
              <w:pStyle w:val="TableText"/>
              <w:keepNext/>
              <w:rPr>
                <w:rFonts w:ascii="Public Sans" w:hAnsi="Public Sans" w:cs="Arial"/>
                <w:b/>
                <w:sz w:val="24"/>
                <w:szCs w:val="24"/>
              </w:rPr>
            </w:pPr>
            <w:r w:rsidRPr="006D7142">
              <w:rPr>
                <w:rFonts w:ascii="Public Sans" w:hAnsi="Public Sans" w:cs="Arial"/>
                <w:b/>
              </w:rPr>
              <w:t>Capability name</w:t>
            </w:r>
          </w:p>
        </w:tc>
        <w:tc>
          <w:tcPr>
            <w:tcW w:w="141" w:type="dxa"/>
            <w:tcBorders>
              <w:bottom w:val="single" w:sz="12" w:space="0" w:color="auto"/>
            </w:tcBorders>
            <w:shd w:val="clear" w:color="auto" w:fill="BCBEC0"/>
          </w:tcPr>
          <w:p w14:paraId="1C87A1E4" w14:textId="77777777" w:rsidR="00513560" w:rsidRPr="006D7142" w:rsidRDefault="00513560" w:rsidP="000A561C">
            <w:pPr>
              <w:pStyle w:val="TableText"/>
              <w:keepNext/>
              <w:rPr>
                <w:rFonts w:ascii="Public Sans" w:hAnsi="Public Sans" w:cs="Arial"/>
                <w:b/>
              </w:rPr>
            </w:pPr>
          </w:p>
        </w:tc>
        <w:tc>
          <w:tcPr>
            <w:tcW w:w="4536" w:type="dxa"/>
            <w:gridSpan w:val="2"/>
            <w:tcBorders>
              <w:bottom w:val="single" w:sz="12" w:space="0" w:color="auto"/>
            </w:tcBorders>
            <w:shd w:val="clear" w:color="auto" w:fill="BCBEC0"/>
            <w:hideMark/>
          </w:tcPr>
          <w:p w14:paraId="1A5A5623" w14:textId="77777777" w:rsidR="00513560" w:rsidRPr="006D7142" w:rsidRDefault="00513560" w:rsidP="000A561C">
            <w:pPr>
              <w:pStyle w:val="TableText"/>
              <w:keepNext/>
              <w:rPr>
                <w:rFonts w:ascii="Public Sans" w:hAnsi="Public Sans" w:cs="Arial"/>
                <w:b/>
              </w:rPr>
            </w:pPr>
            <w:r w:rsidRPr="006D7142">
              <w:rPr>
                <w:rFonts w:ascii="Public Sans" w:hAnsi="Public Sans" w:cs="Arial"/>
                <w:b/>
              </w:rPr>
              <w:t>Behavioural indicators</w:t>
            </w:r>
          </w:p>
        </w:tc>
        <w:tc>
          <w:tcPr>
            <w:tcW w:w="1585" w:type="dxa"/>
            <w:gridSpan w:val="2"/>
            <w:tcBorders>
              <w:bottom w:val="single" w:sz="12" w:space="0" w:color="auto"/>
            </w:tcBorders>
            <w:shd w:val="clear" w:color="auto" w:fill="BCBEC0"/>
            <w:hideMark/>
          </w:tcPr>
          <w:p w14:paraId="16A739EF" w14:textId="77777777" w:rsidR="00513560" w:rsidRPr="006D7142" w:rsidRDefault="00513560" w:rsidP="000A561C">
            <w:pPr>
              <w:pStyle w:val="TableText"/>
              <w:keepNext/>
              <w:jc w:val="both"/>
              <w:rPr>
                <w:rFonts w:ascii="Public Sans" w:hAnsi="Public Sans" w:cs="Arial"/>
                <w:b/>
              </w:rPr>
            </w:pPr>
            <w:r w:rsidRPr="006D7142">
              <w:rPr>
                <w:rFonts w:ascii="Public Sans" w:hAnsi="Public Sans" w:cs="Arial"/>
                <w:b/>
              </w:rPr>
              <w:t>Level</w:t>
            </w:r>
          </w:p>
        </w:tc>
      </w:tr>
      <w:tr w:rsidR="00764DFC" w:rsidRPr="006D7142" w14:paraId="672DFCC9" w14:textId="77777777" w:rsidTr="00764DFC">
        <w:trPr>
          <w:gridAfter w:val="1"/>
          <w:wAfter w:w="25" w:type="dxa"/>
        </w:trPr>
        <w:tc>
          <w:tcPr>
            <w:tcW w:w="1475" w:type="dxa"/>
            <w:tcBorders>
              <w:top w:val="single" w:sz="4" w:space="0" w:color="auto"/>
              <w:left w:val="nil"/>
              <w:bottom w:val="single" w:sz="8" w:space="0" w:color="BCBEC0"/>
              <w:right w:val="nil"/>
            </w:tcBorders>
          </w:tcPr>
          <w:p w14:paraId="15777D6C" w14:textId="77777777" w:rsidR="00764DFC" w:rsidRPr="006D7142" w:rsidRDefault="00764DFC" w:rsidP="00856C9A">
            <w:pPr>
              <w:keepNext/>
              <w:spacing w:after="0" w:line="240" w:lineRule="auto"/>
              <w:rPr>
                <w:rFonts w:ascii="Public Sans" w:hAnsi="Public Sans" w:cs="Arial"/>
              </w:rPr>
            </w:pPr>
            <w:r w:rsidRPr="006D7142">
              <w:rPr>
                <w:rFonts w:ascii="Public Sans" w:hAnsi="Public Sans" w:cs="Arial"/>
                <w:noProof/>
                <w:lang w:eastAsia="en-AU"/>
              </w:rPr>
              <w:drawing>
                <wp:inline distT="0" distB="0" distL="0" distR="0" wp14:anchorId="6A478D9F" wp14:editId="4AD35A43">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241363D7"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Act with Integrity</w:t>
            </w:r>
          </w:p>
          <w:p w14:paraId="16E9ED26"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273B8D91"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Represent the organisation in an honest, ethical and professional way</w:t>
            </w:r>
          </w:p>
          <w:p w14:paraId="32B2C77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Support a culture of integrity and professionalism</w:t>
            </w:r>
          </w:p>
          <w:p w14:paraId="0F9A3D1B"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Understand and help others to recognise their obligations to comply with legislation, policies, guidelines and codes of conduct</w:t>
            </w:r>
          </w:p>
          <w:p w14:paraId="2B26DC5F"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Recognise and report misconduct and illegal and inappropriate behaviour</w:t>
            </w:r>
          </w:p>
          <w:p w14:paraId="0CE0FEC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2E9A0E94"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Intermediate</w:t>
            </w:r>
          </w:p>
        </w:tc>
      </w:tr>
      <w:tr w:rsidR="00764DFC" w:rsidRPr="006D7142" w14:paraId="2AE81698" w14:textId="77777777" w:rsidTr="00764DF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3A2C7C1" w14:textId="77777777" w:rsidR="00764DFC" w:rsidRPr="006D7142" w:rsidRDefault="00764DFC" w:rsidP="00856C9A">
            <w:pPr>
              <w:keepNext/>
              <w:spacing w:after="0" w:line="240" w:lineRule="auto"/>
              <w:rPr>
                <w:rFonts w:ascii="Public Sans" w:hAnsi="Public Sans" w:cs="Arial"/>
                <w:noProof/>
                <w:lang w:eastAsia="en-AU"/>
              </w:rPr>
            </w:pPr>
            <w:r w:rsidRPr="006D7142">
              <w:rPr>
                <w:rFonts w:ascii="Public Sans" w:hAnsi="Public Sans" w:cs="Arial"/>
                <w:noProof/>
                <w:lang w:eastAsia="en-AU"/>
              </w:rPr>
              <w:drawing>
                <wp:inline distT="0" distB="0" distL="0" distR="0" wp14:anchorId="24B795EB" wp14:editId="5808207E">
                  <wp:extent cx="848360" cy="848360"/>
                  <wp:effectExtent l="0" t="0" r="8890" b="8890"/>
                  <wp:docPr id="18" name="Picture 18"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6D606FD"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Manage Self</w:t>
            </w:r>
          </w:p>
          <w:p w14:paraId="7BD6E382"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7DE2FCFE"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Be willing to develop and apply new skills</w:t>
            </w:r>
          </w:p>
          <w:p w14:paraId="08108567"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Show commitment to completing assigned work activities</w:t>
            </w:r>
          </w:p>
          <w:p w14:paraId="7CDA6DE5"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Look for opportunities to learn and develop</w:t>
            </w:r>
          </w:p>
          <w:p w14:paraId="62B6F435"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Reflect on feedback from colleagues and stakeholders</w:t>
            </w:r>
          </w:p>
        </w:tc>
        <w:tc>
          <w:tcPr>
            <w:tcW w:w="1701" w:type="dxa"/>
            <w:gridSpan w:val="2"/>
            <w:tcBorders>
              <w:top w:val="single" w:sz="8" w:space="0" w:color="BCBEC0"/>
              <w:left w:val="nil"/>
              <w:bottom w:val="single" w:sz="8" w:space="0" w:color="BCBEC0"/>
              <w:right w:val="nil"/>
            </w:tcBorders>
            <w:shd w:val="clear" w:color="auto" w:fill="FFFFFF" w:themeFill="background1"/>
          </w:tcPr>
          <w:p w14:paraId="1FC38593"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 xml:space="preserve">Foundational </w:t>
            </w:r>
          </w:p>
        </w:tc>
      </w:tr>
      <w:tr w:rsidR="00764DFC" w:rsidRPr="006D7142" w14:paraId="202AF388" w14:textId="77777777" w:rsidTr="00764DF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1F9E6EB" w14:textId="77777777" w:rsidR="00764DFC" w:rsidRPr="006D7142" w:rsidRDefault="00764DFC" w:rsidP="00856C9A">
            <w:pPr>
              <w:keepNext/>
              <w:spacing w:after="0" w:line="240" w:lineRule="auto"/>
              <w:rPr>
                <w:rFonts w:ascii="Public Sans" w:hAnsi="Public Sans" w:cs="Arial"/>
                <w:noProof/>
                <w:lang w:eastAsia="en-AU"/>
              </w:rPr>
            </w:pPr>
            <w:r w:rsidRPr="006D7142">
              <w:rPr>
                <w:rFonts w:ascii="Public Sans" w:hAnsi="Public Sans" w:cs="Arial"/>
                <w:noProof/>
                <w:lang w:eastAsia="en-AU"/>
              </w:rPr>
              <w:drawing>
                <wp:inline distT="0" distB="0" distL="0" distR="0" wp14:anchorId="2ACD628D" wp14:editId="244A9344">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B1C8057"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Commit to Customer Service</w:t>
            </w:r>
          </w:p>
          <w:p w14:paraId="6F746192"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5ED00151"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Focus on providing a positive customer experience</w:t>
            </w:r>
          </w:p>
          <w:p w14:paraId="6CCF7430"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Support a customer-focused culture in the organisation</w:t>
            </w:r>
          </w:p>
          <w:p w14:paraId="6DA947A0"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Demonstrate a thorough knowledge of the services provided and relay this knowledge to customers</w:t>
            </w:r>
          </w:p>
          <w:p w14:paraId="122DBE70"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Identify and respond quickly to customer needs</w:t>
            </w:r>
          </w:p>
          <w:p w14:paraId="7FEF8528"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Consider customer service requirements and develop solutions to meet needs</w:t>
            </w:r>
          </w:p>
          <w:p w14:paraId="22D451C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Resolve complex customer issues and needs</w:t>
            </w:r>
          </w:p>
          <w:p w14:paraId="46514DA0"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Cooperate across work areas to improve outcomes for customers</w:t>
            </w:r>
          </w:p>
        </w:tc>
        <w:tc>
          <w:tcPr>
            <w:tcW w:w="1701" w:type="dxa"/>
            <w:gridSpan w:val="2"/>
            <w:tcBorders>
              <w:top w:val="single" w:sz="8" w:space="0" w:color="BCBEC0"/>
              <w:left w:val="nil"/>
              <w:bottom w:val="single" w:sz="8" w:space="0" w:color="BCBEC0"/>
              <w:right w:val="nil"/>
            </w:tcBorders>
            <w:shd w:val="clear" w:color="auto" w:fill="FFFFFF" w:themeFill="background1"/>
          </w:tcPr>
          <w:p w14:paraId="381BDE46"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Intermediate</w:t>
            </w:r>
          </w:p>
        </w:tc>
      </w:tr>
      <w:tr w:rsidR="00764DFC" w:rsidRPr="006D7142" w14:paraId="64DCCF6B" w14:textId="77777777" w:rsidTr="00764DF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931460B" w14:textId="77777777" w:rsidR="00764DFC" w:rsidRPr="006D7142" w:rsidRDefault="00764DFC" w:rsidP="00856C9A">
            <w:pPr>
              <w:keepNext/>
              <w:spacing w:after="0" w:line="240" w:lineRule="auto"/>
              <w:rPr>
                <w:rFonts w:ascii="Public Sans" w:hAnsi="Public Sans" w:cs="Arial"/>
                <w:noProof/>
                <w:lang w:eastAsia="en-AU"/>
              </w:rPr>
            </w:pPr>
            <w:r w:rsidRPr="006D7142">
              <w:rPr>
                <w:rFonts w:ascii="Public Sans" w:hAnsi="Public Sans" w:cs="Arial"/>
                <w:noProof/>
                <w:lang w:eastAsia="en-AU"/>
              </w:rPr>
              <w:drawing>
                <wp:inline distT="0" distB="0" distL="0" distR="0" wp14:anchorId="060E3243" wp14:editId="69AAE783">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25904C4"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Work Collaboratively</w:t>
            </w:r>
          </w:p>
          <w:p w14:paraId="4C1894D7"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6612DA70"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Build a supportive and cooperative team environment</w:t>
            </w:r>
          </w:p>
          <w:p w14:paraId="7C52EED3"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Share information and learning across teams</w:t>
            </w:r>
          </w:p>
          <w:p w14:paraId="14A10353"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Acknowledge outcomes that were achieved by effective collaboration</w:t>
            </w:r>
          </w:p>
          <w:p w14:paraId="0009459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lastRenderedPageBreak/>
              <w:t>Engage other teams and units to share information and jointly solve issues and problems</w:t>
            </w:r>
          </w:p>
          <w:p w14:paraId="7EBEB146"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Support others in challenging situations</w:t>
            </w:r>
          </w:p>
          <w:p w14:paraId="74A3D65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4C61F40F"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lastRenderedPageBreak/>
              <w:t>Intermediate</w:t>
            </w:r>
          </w:p>
        </w:tc>
      </w:tr>
      <w:tr w:rsidR="00764DFC" w:rsidRPr="006D7142" w14:paraId="0BDBBDC0" w14:textId="77777777" w:rsidTr="00764DF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A53EF89" w14:textId="77777777" w:rsidR="00764DFC" w:rsidRPr="006D7142" w:rsidRDefault="00764DFC" w:rsidP="00856C9A">
            <w:pPr>
              <w:keepNext/>
              <w:spacing w:after="0" w:line="240" w:lineRule="auto"/>
              <w:rPr>
                <w:rFonts w:ascii="Public Sans" w:hAnsi="Public Sans" w:cs="Arial"/>
                <w:noProof/>
                <w:lang w:eastAsia="en-AU"/>
              </w:rPr>
            </w:pPr>
            <w:r w:rsidRPr="006D7142">
              <w:rPr>
                <w:rFonts w:ascii="Public Sans" w:hAnsi="Public Sans" w:cs="Arial"/>
                <w:noProof/>
                <w:lang w:eastAsia="en-AU"/>
              </w:rPr>
              <w:drawing>
                <wp:inline distT="0" distB="0" distL="0" distR="0" wp14:anchorId="080B19B0" wp14:editId="2CE52B7D">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11948EA"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Think and Solve Problems</w:t>
            </w:r>
          </w:p>
          <w:p w14:paraId="320F134C"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07641FBB"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Identify the facts and type of data needed to understand  a  problem or explore an opportunity</w:t>
            </w:r>
          </w:p>
          <w:p w14:paraId="27220999"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Research and analyse information to make recommendations based on relevant evidence</w:t>
            </w:r>
          </w:p>
          <w:p w14:paraId="5FD7030E"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Identify issues that may hinder the completion of tasks and find appropriate solutions</w:t>
            </w:r>
          </w:p>
          <w:p w14:paraId="569D0D12"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Be willing to seek input from others and share own ideas to achieve best outcomes</w:t>
            </w:r>
          </w:p>
          <w:p w14:paraId="620B5556"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Generate ideas and identify ways to improve systems and processes to meet user needs</w:t>
            </w:r>
          </w:p>
        </w:tc>
        <w:tc>
          <w:tcPr>
            <w:tcW w:w="1701" w:type="dxa"/>
            <w:gridSpan w:val="2"/>
            <w:tcBorders>
              <w:top w:val="single" w:sz="8" w:space="0" w:color="BCBEC0"/>
              <w:left w:val="nil"/>
              <w:bottom w:val="single" w:sz="8" w:space="0" w:color="BCBEC0"/>
              <w:right w:val="nil"/>
            </w:tcBorders>
            <w:shd w:val="clear" w:color="auto" w:fill="FFFFFF" w:themeFill="background1"/>
          </w:tcPr>
          <w:p w14:paraId="67D5B05D"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Intermediate</w:t>
            </w:r>
          </w:p>
        </w:tc>
      </w:tr>
      <w:tr w:rsidR="00764DFC" w:rsidRPr="006D7142" w14:paraId="50BA8C50" w14:textId="77777777" w:rsidTr="00764DFC">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5501DEDE" w14:textId="77777777" w:rsidR="00764DFC" w:rsidRPr="006D7142" w:rsidRDefault="00764DFC" w:rsidP="00856C9A">
            <w:pPr>
              <w:keepNext/>
              <w:spacing w:after="0" w:line="240" w:lineRule="auto"/>
              <w:rPr>
                <w:rFonts w:ascii="Public Sans" w:hAnsi="Public Sans" w:cs="Arial"/>
                <w:noProof/>
                <w:lang w:eastAsia="en-AU"/>
              </w:rPr>
            </w:pPr>
            <w:r w:rsidRPr="006D7142">
              <w:rPr>
                <w:rFonts w:ascii="Public Sans" w:hAnsi="Public Sans"/>
                <w:noProof/>
                <w:lang w:eastAsia="en-AU"/>
              </w:rPr>
              <w:drawing>
                <wp:inline distT="0" distB="0" distL="0" distR="0" wp14:anchorId="1FA5C1BD" wp14:editId="06286DC7">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43CFC65C"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b/>
              </w:rPr>
              <w:t>Technology</w:t>
            </w:r>
          </w:p>
          <w:p w14:paraId="14F99DDA" w14:textId="77777777" w:rsidR="00764DFC" w:rsidRPr="006D7142" w:rsidRDefault="00764DFC" w:rsidP="00856C9A">
            <w:pPr>
              <w:pStyle w:val="TableText"/>
              <w:keepNext/>
              <w:spacing w:before="0" w:after="0" w:line="240" w:lineRule="auto"/>
              <w:rPr>
                <w:rFonts w:ascii="Public Sans" w:hAnsi="Public Sans" w:cs="Arial"/>
                <w:b/>
              </w:rPr>
            </w:pPr>
            <w:r w:rsidRPr="006D7142">
              <w:rPr>
                <w:rFonts w:ascii="Public Sans" w:hAnsi="Public Sans" w:cs="Arial"/>
              </w:rPr>
              <w:t>Understand and use available technologies to maximise efficiencies and effectiveness</w:t>
            </w:r>
          </w:p>
        </w:tc>
        <w:tc>
          <w:tcPr>
            <w:tcW w:w="4611" w:type="dxa"/>
            <w:gridSpan w:val="3"/>
            <w:tcBorders>
              <w:top w:val="single" w:sz="8" w:space="0" w:color="BCBEC0"/>
              <w:bottom w:val="single" w:sz="8" w:space="0" w:color="BCBEC0"/>
            </w:tcBorders>
            <w:shd w:val="clear" w:color="auto" w:fill="FFFFFF" w:themeFill="background1"/>
          </w:tcPr>
          <w:p w14:paraId="47297349"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Display familiarity and confidence when applying technology used in role</w:t>
            </w:r>
          </w:p>
          <w:p w14:paraId="1C388F1D"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Comply with records, communication and document control policies</w:t>
            </w:r>
          </w:p>
          <w:p w14:paraId="40D70BF9" w14:textId="77777777" w:rsidR="00764DFC" w:rsidRPr="006D7142" w:rsidRDefault="00764DFC" w:rsidP="00764DFC">
            <w:pPr>
              <w:pStyle w:val="BodyText"/>
              <w:numPr>
                <w:ilvl w:val="0"/>
                <w:numId w:val="32"/>
              </w:numPr>
              <w:spacing w:before="0" w:after="0" w:line="240" w:lineRule="auto"/>
              <w:ind w:left="360" w:right="702"/>
              <w:rPr>
                <w:rFonts w:ascii="Public Sans" w:hAnsi="Public Sans" w:cs="Arial"/>
                <w:color w:val="auto"/>
              </w:rPr>
            </w:pPr>
            <w:r w:rsidRPr="006D7142">
              <w:rPr>
                <w:rFonts w:ascii="Public Sans" w:hAnsi="Public Sans" w:cs="Arial"/>
                <w:color w:val="auto"/>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14F33164" w14:textId="77777777" w:rsidR="00764DFC" w:rsidRPr="006D7142" w:rsidRDefault="00764DFC" w:rsidP="00856C9A">
            <w:pPr>
              <w:pStyle w:val="TableText"/>
              <w:keepNext/>
              <w:spacing w:before="0" w:after="0" w:line="240" w:lineRule="auto"/>
              <w:rPr>
                <w:rFonts w:ascii="Public Sans" w:hAnsi="Public Sans" w:cs="Arial"/>
              </w:rPr>
            </w:pPr>
            <w:r w:rsidRPr="006D7142">
              <w:rPr>
                <w:rFonts w:ascii="Public Sans" w:hAnsi="Public Sans" w:cs="Arial"/>
              </w:rPr>
              <w:t xml:space="preserve">Foundational </w:t>
            </w:r>
          </w:p>
        </w:tc>
      </w:tr>
    </w:tbl>
    <w:p w14:paraId="1D88AD4D" w14:textId="3DA70F87" w:rsidR="00C74EE5" w:rsidRPr="006D7142" w:rsidRDefault="00C74EE5">
      <w:pPr>
        <w:spacing w:after="0" w:line="240" w:lineRule="auto"/>
        <w:rPr>
          <w:rFonts w:ascii="Public Sans" w:hAnsi="Public Sans" w:cs="Arial"/>
        </w:rPr>
      </w:pPr>
    </w:p>
    <w:p w14:paraId="1F6D2237" w14:textId="4D51E751" w:rsidR="00BD1817" w:rsidRPr="006D7142" w:rsidRDefault="00BD1817">
      <w:pPr>
        <w:spacing w:after="0" w:line="240" w:lineRule="auto"/>
        <w:rPr>
          <w:rFonts w:ascii="Public Sans" w:hAnsi="Public Sans" w:cs="Arial"/>
        </w:rPr>
      </w:pPr>
    </w:p>
    <w:p w14:paraId="2C0A0501" w14:textId="77777777" w:rsidR="006C5A71" w:rsidRPr="006D7142" w:rsidRDefault="006C5A71" w:rsidP="00D90A0B">
      <w:pPr>
        <w:pStyle w:val="Heading1"/>
        <w:spacing w:after="0" w:line="240" w:lineRule="auto"/>
        <w:rPr>
          <w:rFonts w:ascii="Public Sans" w:hAnsi="Public Sans"/>
        </w:rPr>
      </w:pPr>
      <w:r w:rsidRPr="006D7142">
        <w:rPr>
          <w:rFonts w:ascii="Public Sans" w:hAnsi="Public Sans"/>
        </w:rPr>
        <w:t>Complementary capabilities</w:t>
      </w:r>
    </w:p>
    <w:p w14:paraId="1D15BA7E" w14:textId="77777777" w:rsidR="00D90A0B" w:rsidRPr="006D7142" w:rsidRDefault="00D90A0B" w:rsidP="00D90A0B">
      <w:pPr>
        <w:rPr>
          <w:rFonts w:ascii="Public Sans" w:hAnsi="Public Sans"/>
        </w:rPr>
      </w:pPr>
    </w:p>
    <w:p w14:paraId="176EB3AF" w14:textId="657A673F" w:rsidR="006C5A71" w:rsidRPr="006D7142" w:rsidRDefault="006C5A71" w:rsidP="00D90A0B">
      <w:pPr>
        <w:pStyle w:val="PlainText"/>
        <w:spacing w:after="0" w:line="240" w:lineRule="auto"/>
        <w:rPr>
          <w:rFonts w:ascii="Public Sans" w:eastAsiaTheme="minorEastAsia" w:hAnsi="Public Sans" w:cs="Arial"/>
          <w:iCs/>
          <w:szCs w:val="22"/>
          <w:lang w:val="en-US"/>
        </w:rPr>
      </w:pPr>
      <w:r w:rsidRPr="006D7142">
        <w:rPr>
          <w:rFonts w:ascii="Public Sans" w:eastAsiaTheme="minorEastAsia" w:hAnsi="Public Sans" w:cs="Arial"/>
          <w:iCs/>
          <w:szCs w:val="22"/>
          <w:lang w:val="en-US"/>
        </w:rPr>
        <w:t>Complementary capabilities are also identified from the Capability Framework and relevant occupation</w:t>
      </w:r>
      <w:r w:rsidR="00D90A0B" w:rsidRPr="006D7142">
        <w:rPr>
          <w:rFonts w:ascii="Public Sans" w:eastAsiaTheme="minorEastAsia" w:hAnsi="Public Sans" w:cs="Arial"/>
          <w:iCs/>
          <w:szCs w:val="22"/>
          <w:lang w:val="en-US"/>
        </w:rPr>
        <w:t xml:space="preserve"> </w:t>
      </w:r>
      <w:r w:rsidRPr="006D7142">
        <w:rPr>
          <w:rFonts w:ascii="Public Sans" w:eastAsiaTheme="minorEastAsia" w:hAnsi="Public Sans" w:cs="Arial"/>
          <w:iCs/>
          <w:szCs w:val="22"/>
          <w:lang w:val="en-US"/>
        </w:rPr>
        <w:t xml:space="preserve">specific capability sets. They are important </w:t>
      </w:r>
      <w:r w:rsidR="00D90A0B" w:rsidRPr="006D7142">
        <w:rPr>
          <w:rFonts w:ascii="Public Sans" w:eastAsiaTheme="minorEastAsia" w:hAnsi="Public Sans" w:cs="Arial"/>
          <w:iCs/>
          <w:szCs w:val="22"/>
          <w:lang w:val="en-US"/>
        </w:rPr>
        <w:t xml:space="preserve">in </w:t>
      </w:r>
      <w:r w:rsidRPr="006D7142">
        <w:rPr>
          <w:rFonts w:ascii="Public Sans" w:eastAsiaTheme="minorEastAsia" w:hAnsi="Public Sans" w:cs="Arial"/>
          <w:iCs/>
          <w:szCs w:val="22"/>
          <w:lang w:val="en-US"/>
        </w:rPr>
        <w:t xml:space="preserve">identifying performance required for the role and development opportunities. </w:t>
      </w:r>
    </w:p>
    <w:p w14:paraId="27A8181F" w14:textId="77777777" w:rsidR="00D90A0B" w:rsidRPr="006D7142" w:rsidRDefault="00D90A0B" w:rsidP="00D90A0B">
      <w:pPr>
        <w:pStyle w:val="PlainText"/>
        <w:spacing w:after="0" w:line="240" w:lineRule="auto"/>
        <w:rPr>
          <w:rFonts w:ascii="Public Sans" w:eastAsiaTheme="minorEastAsia" w:hAnsi="Public Sans" w:cs="Arial"/>
          <w:iCs/>
          <w:szCs w:val="22"/>
          <w:lang w:val="en-US"/>
        </w:rPr>
      </w:pPr>
    </w:p>
    <w:p w14:paraId="0CEFFC85" w14:textId="30C1B7A2" w:rsidR="006C5A71" w:rsidRPr="006D7142" w:rsidRDefault="006C5A71" w:rsidP="00D90A0B">
      <w:pPr>
        <w:pStyle w:val="PlainText"/>
        <w:spacing w:after="0" w:line="240" w:lineRule="auto"/>
        <w:rPr>
          <w:rFonts w:ascii="Public Sans" w:eastAsiaTheme="minorEastAsia" w:hAnsi="Public Sans" w:cs="Arial"/>
          <w:iCs/>
          <w:szCs w:val="22"/>
          <w:lang w:val="en-US"/>
        </w:rPr>
      </w:pPr>
      <w:r w:rsidRPr="006D7142">
        <w:rPr>
          <w:rFonts w:ascii="Public Sans" w:eastAsiaTheme="minorEastAsia" w:hAnsi="Public Sans" w:cs="Arial"/>
          <w:iCs/>
          <w:szCs w:val="22"/>
          <w:lang w:val="en-US"/>
        </w:rPr>
        <w:t xml:space="preserve">Note: capabilities listed as ‘not essential’ for </w:t>
      </w:r>
      <w:r w:rsidR="00DD685B" w:rsidRPr="006D7142">
        <w:rPr>
          <w:rFonts w:ascii="Public Sans" w:eastAsiaTheme="minorEastAsia" w:hAnsi="Public Sans" w:cs="Arial"/>
          <w:iCs/>
          <w:szCs w:val="22"/>
          <w:lang w:val="en-US"/>
        </w:rPr>
        <w:t xml:space="preserve">this role </w:t>
      </w:r>
      <w:r w:rsidR="00D67528" w:rsidRPr="006D7142">
        <w:rPr>
          <w:rFonts w:ascii="Public Sans" w:eastAsiaTheme="minorEastAsia" w:hAnsi="Public Sans" w:cs="Arial"/>
          <w:iCs/>
          <w:szCs w:val="22"/>
          <w:lang w:val="en-US"/>
        </w:rPr>
        <w:t>are</w:t>
      </w:r>
      <w:r w:rsidRPr="006D7142">
        <w:rPr>
          <w:rFonts w:ascii="Public Sans" w:eastAsiaTheme="minorEastAsia" w:hAnsi="Public Sans" w:cs="Arial"/>
          <w:iCs/>
          <w:szCs w:val="22"/>
          <w:lang w:val="en-US"/>
        </w:rPr>
        <w:t xml:space="preserve"> not relevant for recruitment purposes however may be relevant for future career development.</w:t>
      </w:r>
    </w:p>
    <w:p w14:paraId="4FAC2A47" w14:textId="77777777" w:rsidR="00D90A0B" w:rsidRPr="006D7142" w:rsidRDefault="00D90A0B" w:rsidP="00D90A0B">
      <w:pPr>
        <w:pStyle w:val="PlainText"/>
        <w:spacing w:after="0" w:line="240" w:lineRule="auto"/>
        <w:rPr>
          <w:rFonts w:ascii="Public Sans" w:eastAsiaTheme="minorEastAsia" w:hAnsi="Public Sans" w:cs="Arial"/>
          <w:iCs/>
          <w:szCs w:val="22"/>
          <w:lang w:val="en-US"/>
        </w:rPr>
      </w:pP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6D7142"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6D7142" w:rsidRDefault="006C5A71" w:rsidP="006C5A71">
            <w:pPr>
              <w:pStyle w:val="TableTextWhite0"/>
              <w:keepNext/>
              <w:jc w:val="both"/>
              <w:rPr>
                <w:rFonts w:ascii="Public Sans" w:hAnsi="Public Sans" w:cs="Arial"/>
                <w:szCs w:val="22"/>
              </w:rPr>
            </w:pPr>
            <w:r w:rsidRPr="006D7142">
              <w:rPr>
                <w:rFonts w:ascii="Public Sans" w:hAnsi="Public Sans" w:cs="Arial"/>
                <w:szCs w:val="22"/>
              </w:rPr>
              <w:lastRenderedPageBreak/>
              <w:t>COMPLEMENTARY CAPABILITIES</w:t>
            </w:r>
          </w:p>
        </w:tc>
      </w:tr>
      <w:tr w:rsidR="006C5A71" w:rsidRPr="006D7142"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6D7142" w:rsidRDefault="006C5A71" w:rsidP="006C5A71">
            <w:pPr>
              <w:pStyle w:val="TableText"/>
              <w:keepNext/>
              <w:rPr>
                <w:rFonts w:ascii="Public Sans" w:hAnsi="Public Sans" w:cs="Arial"/>
                <w:b/>
                <w:sz w:val="22"/>
                <w:szCs w:val="22"/>
              </w:rPr>
            </w:pPr>
            <w:r w:rsidRPr="006D7142">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6D7142" w:rsidRDefault="006C5A71" w:rsidP="006C5A71">
            <w:pPr>
              <w:pStyle w:val="TableText"/>
              <w:keepNext/>
              <w:rPr>
                <w:rFonts w:ascii="Public Sans" w:hAnsi="Public Sans" w:cs="Arial"/>
                <w:b/>
                <w:sz w:val="22"/>
                <w:szCs w:val="22"/>
              </w:rPr>
            </w:pPr>
            <w:r w:rsidRPr="006D7142">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6D7142" w:rsidRDefault="006C5A71" w:rsidP="006C5A71">
            <w:pPr>
              <w:pStyle w:val="TableText"/>
              <w:keepNext/>
              <w:rPr>
                <w:rFonts w:ascii="Public Sans" w:hAnsi="Public Sans" w:cs="Arial"/>
                <w:b/>
                <w:sz w:val="22"/>
                <w:szCs w:val="22"/>
              </w:rPr>
            </w:pPr>
            <w:r w:rsidRPr="006D7142">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6D7142" w:rsidRDefault="006C5A71" w:rsidP="006C5A71">
            <w:pPr>
              <w:pStyle w:val="TableText"/>
              <w:keepNext/>
              <w:jc w:val="both"/>
              <w:rPr>
                <w:rFonts w:ascii="Public Sans" w:hAnsi="Public Sans" w:cs="Arial"/>
                <w:b/>
                <w:sz w:val="22"/>
                <w:szCs w:val="22"/>
              </w:rPr>
            </w:pPr>
            <w:r w:rsidRPr="006D7142">
              <w:rPr>
                <w:rFonts w:ascii="Public Sans" w:hAnsi="Public Sans" w:cs="Arial"/>
                <w:b/>
                <w:sz w:val="22"/>
                <w:szCs w:val="22"/>
              </w:rPr>
              <w:t xml:space="preserve">Level </w:t>
            </w:r>
          </w:p>
        </w:tc>
      </w:tr>
      <w:tr w:rsidR="00EA36A0" w:rsidRPr="006D7142"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6D7142" w:rsidRDefault="00EA36A0" w:rsidP="006C5A71">
            <w:pPr>
              <w:keepNext/>
              <w:rPr>
                <w:rFonts w:ascii="Public Sans" w:hAnsi="Public Sans" w:cs="Arial"/>
                <w:szCs w:val="22"/>
              </w:rPr>
            </w:pPr>
            <w:r w:rsidRPr="006D7142">
              <w:rPr>
                <w:rFonts w:ascii="Public Sans" w:hAnsi="Public Sans" w:cs="Arial"/>
                <w:noProof/>
                <w:szCs w:val="22"/>
                <w:lang w:eastAsia="en-AU"/>
              </w:rPr>
              <w:drawing>
                <wp:inline distT="0" distB="0" distL="0" distR="0" wp14:anchorId="02E49444" wp14:editId="487D335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6D7142"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6D7142"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6D7142" w:rsidRDefault="00EA36A0" w:rsidP="006C5A71">
            <w:pPr>
              <w:pStyle w:val="TableText"/>
              <w:keepNext/>
              <w:rPr>
                <w:rFonts w:ascii="Public Sans" w:hAnsi="Public Sans" w:cs="Arial"/>
                <w:sz w:val="22"/>
                <w:szCs w:val="22"/>
              </w:rPr>
            </w:pPr>
          </w:p>
        </w:tc>
      </w:tr>
      <w:tr w:rsidR="00EA36A0" w:rsidRPr="006D7142" w14:paraId="1F9AC14F" w14:textId="77777777" w:rsidTr="00322B27">
        <w:tc>
          <w:tcPr>
            <w:tcW w:w="1470" w:type="dxa"/>
            <w:vMerge/>
          </w:tcPr>
          <w:p w14:paraId="3524E24A" w14:textId="77777777" w:rsidR="00EA36A0" w:rsidRPr="006D7142"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630A07CC" w14:textId="77777777" w:rsidR="00EA36A0" w:rsidRPr="006D7142" w:rsidRDefault="00EA36A0" w:rsidP="006C5A71">
            <w:pPr>
              <w:pStyle w:val="TableText"/>
              <w:keepNext/>
              <w:rPr>
                <w:rFonts w:ascii="Public Sans" w:hAnsi="Public Sans" w:cs="Arial"/>
                <w:sz w:val="22"/>
                <w:szCs w:val="22"/>
              </w:rPr>
            </w:pPr>
            <w:r w:rsidRPr="006D7142">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12DA11ED" w14:textId="77777777" w:rsidR="00EA36A0" w:rsidRPr="006D7142" w:rsidRDefault="00EA36A0" w:rsidP="006C5A71">
            <w:pPr>
              <w:rPr>
                <w:rFonts w:ascii="Public Sans" w:hAnsi="Public Sans" w:cs="Arial"/>
                <w:szCs w:val="22"/>
              </w:rPr>
            </w:pPr>
            <w:r w:rsidRPr="006D7142">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3B20EA3B" w:rsidR="00EA36A0" w:rsidRPr="006D7142" w:rsidRDefault="00620F4A" w:rsidP="006C5A71">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EA36A0" w:rsidRPr="006D7142" w14:paraId="18CEC663" w14:textId="77777777" w:rsidTr="00322B27">
        <w:tc>
          <w:tcPr>
            <w:tcW w:w="1470" w:type="dxa"/>
            <w:vMerge/>
            <w:tcBorders>
              <w:bottom w:val="single" w:sz="4" w:space="0" w:color="auto"/>
            </w:tcBorders>
          </w:tcPr>
          <w:p w14:paraId="3F1278F7" w14:textId="77777777" w:rsidR="00EA36A0" w:rsidRPr="006D7142"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6D7142" w:rsidRDefault="00EA36A0" w:rsidP="006C5A71">
            <w:pPr>
              <w:pStyle w:val="TableText"/>
              <w:rPr>
                <w:rFonts w:ascii="Public Sans" w:hAnsi="Public Sans" w:cs="Arial"/>
                <w:sz w:val="22"/>
                <w:szCs w:val="22"/>
              </w:rPr>
            </w:pPr>
            <w:r w:rsidRPr="006D7142">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6D7142" w:rsidRDefault="00EA36A0" w:rsidP="006C5A71">
            <w:pPr>
              <w:rPr>
                <w:rFonts w:ascii="Public Sans" w:hAnsi="Public Sans" w:cs="Arial"/>
                <w:szCs w:val="22"/>
              </w:rPr>
            </w:pPr>
            <w:r w:rsidRPr="006D7142">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2CE63D92" w:rsidR="00EA36A0" w:rsidRPr="006D7142" w:rsidRDefault="00620F4A" w:rsidP="006C5A71">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EA36A0" w:rsidRPr="006D7142"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6D7142" w:rsidRDefault="00EA36A0" w:rsidP="006C5A71">
            <w:pPr>
              <w:keepNext/>
              <w:rPr>
                <w:rFonts w:ascii="Public Sans" w:hAnsi="Public Sans" w:cs="Arial"/>
                <w:noProof/>
                <w:szCs w:val="22"/>
                <w:lang w:eastAsia="en-AU"/>
              </w:rPr>
            </w:pPr>
            <w:r w:rsidRPr="006D7142">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6D7142"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6D7142"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6D7142" w:rsidRDefault="00EA36A0" w:rsidP="00513560">
            <w:pPr>
              <w:pStyle w:val="TableText"/>
              <w:keepNext/>
              <w:rPr>
                <w:rFonts w:ascii="Public Sans" w:hAnsi="Public Sans" w:cs="Arial"/>
                <w:sz w:val="22"/>
                <w:szCs w:val="22"/>
              </w:rPr>
            </w:pPr>
          </w:p>
        </w:tc>
      </w:tr>
      <w:tr w:rsidR="00EA36A0" w:rsidRPr="006D7142"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6D7142"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72CB768A" w14:textId="77777777" w:rsidR="00EA36A0" w:rsidRPr="006D7142" w:rsidRDefault="00EA36A0" w:rsidP="006C5A71">
            <w:pPr>
              <w:pStyle w:val="TableText"/>
              <w:keepNext/>
              <w:rPr>
                <w:rFonts w:ascii="Public Sans" w:hAnsi="Public Sans" w:cs="Arial"/>
                <w:sz w:val="22"/>
                <w:szCs w:val="22"/>
              </w:rPr>
            </w:pPr>
            <w:r w:rsidRPr="006D7142">
              <w:rPr>
                <w:rFonts w:ascii="Public Sans" w:hAnsi="Public Sans" w:cs="Arial"/>
                <w:sz w:val="22"/>
                <w:szCs w:val="22"/>
              </w:rPr>
              <w:t>Communicate Effectively</w:t>
            </w:r>
          </w:p>
        </w:tc>
        <w:tc>
          <w:tcPr>
            <w:tcW w:w="4967" w:type="dxa"/>
            <w:tcBorders>
              <w:top w:val="nil"/>
              <w:bottom w:val="single" w:sz="4" w:space="0" w:color="D9D9D9" w:themeColor="background1" w:themeShade="D9"/>
            </w:tcBorders>
          </w:tcPr>
          <w:p w14:paraId="028F8286" w14:textId="77777777" w:rsidR="00EA36A0" w:rsidRPr="006D7142" w:rsidRDefault="00EA36A0" w:rsidP="00513560">
            <w:pPr>
              <w:rPr>
                <w:rFonts w:ascii="Public Sans" w:hAnsi="Public Sans" w:cs="Arial"/>
                <w:szCs w:val="22"/>
              </w:rPr>
            </w:pPr>
            <w:r w:rsidRPr="006D7142">
              <w:rPr>
                <w:rFonts w:ascii="Public Sans" w:hAnsi="Public Sans" w:cs="Arial"/>
                <w:szCs w:val="22"/>
              </w:rPr>
              <w:t>Communicate clearly, actively listen to others, and respond with understanding and respect</w:t>
            </w:r>
          </w:p>
        </w:tc>
        <w:sdt>
          <w:sdtPr>
            <w:rPr>
              <w:rFonts w:ascii="Public Sans" w:hAnsi="Public Sans" w:cs="Arial"/>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4428DBCA" w:rsidR="00EA36A0" w:rsidRPr="006D7142" w:rsidRDefault="00270220" w:rsidP="00513560">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EA36A0" w:rsidRPr="006D7142"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6D7142"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6D7142" w:rsidRDefault="00EA36A0" w:rsidP="006C5A71">
            <w:pPr>
              <w:pStyle w:val="TableText"/>
              <w:rPr>
                <w:rFonts w:ascii="Public Sans" w:hAnsi="Public Sans" w:cs="Arial"/>
                <w:sz w:val="22"/>
                <w:szCs w:val="22"/>
              </w:rPr>
            </w:pPr>
            <w:r w:rsidRPr="006D7142">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6D7142" w:rsidRDefault="00EA36A0" w:rsidP="00513560">
            <w:pPr>
              <w:rPr>
                <w:rFonts w:ascii="Public Sans" w:hAnsi="Public Sans" w:cs="Arial"/>
                <w:szCs w:val="22"/>
              </w:rPr>
            </w:pPr>
            <w:r w:rsidRPr="006D7142">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6114C90E" w:rsidR="00EA36A0" w:rsidRPr="006D7142" w:rsidRDefault="00270220" w:rsidP="00513560">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6D7142" w:rsidRDefault="00322B27" w:rsidP="006C5A71">
            <w:pPr>
              <w:keepNext/>
              <w:rPr>
                <w:rFonts w:ascii="Public Sans" w:hAnsi="Public Sans" w:cs="Arial"/>
                <w:noProof/>
                <w:szCs w:val="22"/>
                <w:lang w:eastAsia="en-AU"/>
              </w:rPr>
            </w:pPr>
            <w:r w:rsidRPr="006D7142">
              <w:rPr>
                <w:rFonts w:ascii="Public Sans" w:hAnsi="Public Sans" w:cs="Arial"/>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6D7142" w:rsidRDefault="00322B27" w:rsidP="00856C9A">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6D7142" w:rsidRDefault="00322B27" w:rsidP="00856C9A">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6D7142" w:rsidRDefault="00322B27" w:rsidP="00513560">
            <w:pPr>
              <w:pStyle w:val="TableText"/>
              <w:keepNext/>
              <w:rPr>
                <w:rFonts w:ascii="Public Sans" w:hAnsi="Public Sans" w:cs="Arial"/>
                <w:sz w:val="22"/>
                <w:szCs w:val="22"/>
              </w:rPr>
            </w:pPr>
          </w:p>
        </w:tc>
      </w:tr>
      <w:tr w:rsidR="00322B27" w:rsidRPr="006D7142"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6D7142"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7EF247" w14:textId="77777777" w:rsidR="00322B27" w:rsidRPr="006D7142" w:rsidRDefault="00322B27" w:rsidP="006C5A71">
            <w:pPr>
              <w:pStyle w:val="TableText"/>
              <w:keepNext/>
              <w:rPr>
                <w:rFonts w:ascii="Public Sans" w:hAnsi="Public Sans" w:cs="Arial"/>
                <w:sz w:val="22"/>
                <w:szCs w:val="22"/>
              </w:rPr>
            </w:pPr>
            <w:r w:rsidRPr="006D7142">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9216A1B" w14:textId="77777777" w:rsidR="00322B27" w:rsidRPr="006D7142" w:rsidRDefault="00322B27" w:rsidP="00513560">
            <w:pPr>
              <w:rPr>
                <w:rFonts w:ascii="Public Sans" w:hAnsi="Public Sans" w:cs="Arial"/>
                <w:szCs w:val="22"/>
              </w:rPr>
            </w:pPr>
            <w:r w:rsidRPr="006D7142">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4CFF19C4" w:rsidR="00322B27" w:rsidRPr="006D7142" w:rsidRDefault="00270220" w:rsidP="00513560">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6D7142"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6D7142" w:rsidRDefault="00322B27" w:rsidP="006C5A71">
            <w:pPr>
              <w:pStyle w:val="TableText"/>
              <w:keepNext/>
              <w:rPr>
                <w:rFonts w:ascii="Public Sans" w:hAnsi="Public Sans" w:cs="Arial"/>
                <w:sz w:val="22"/>
                <w:szCs w:val="22"/>
              </w:rPr>
            </w:pPr>
            <w:r w:rsidRPr="006D7142">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6D7142" w:rsidRDefault="00322B27" w:rsidP="00513560">
            <w:pPr>
              <w:rPr>
                <w:rFonts w:ascii="Public Sans" w:hAnsi="Public Sans" w:cs="Arial"/>
                <w:szCs w:val="22"/>
              </w:rPr>
            </w:pPr>
            <w:r w:rsidRPr="006D7142">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25BF8404" w:rsidR="00322B27" w:rsidRPr="006D7142" w:rsidRDefault="00270220" w:rsidP="00513560">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6D7142"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41C58634" w14:textId="77777777" w:rsidR="00322B27" w:rsidRPr="006D7142" w:rsidRDefault="00322B27" w:rsidP="006C5A71">
            <w:pPr>
              <w:pStyle w:val="TableText"/>
              <w:rPr>
                <w:rFonts w:ascii="Public Sans" w:hAnsi="Public Sans" w:cs="Arial"/>
                <w:sz w:val="22"/>
                <w:szCs w:val="22"/>
              </w:rPr>
            </w:pPr>
            <w:r w:rsidRPr="006D7142">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6D7142" w:rsidRDefault="00322B27" w:rsidP="00513560">
            <w:pPr>
              <w:rPr>
                <w:rFonts w:ascii="Public Sans" w:hAnsi="Public Sans" w:cs="Arial"/>
                <w:szCs w:val="22"/>
              </w:rPr>
            </w:pPr>
            <w:r w:rsidRPr="006D7142">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2F8ECF7A" w:rsidR="00322B27" w:rsidRPr="006D7142" w:rsidRDefault="00270220" w:rsidP="00513560">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6D7142" w:rsidRDefault="00322B27" w:rsidP="006C5A71">
            <w:pPr>
              <w:keepNext/>
              <w:rPr>
                <w:rFonts w:ascii="Public Sans" w:hAnsi="Public Sans" w:cs="Arial"/>
                <w:szCs w:val="22"/>
              </w:rPr>
            </w:pPr>
            <w:r w:rsidRPr="006D7142">
              <w:rPr>
                <w:rFonts w:ascii="Public Sans" w:hAnsi="Public Sans" w:cs="Arial"/>
                <w:noProof/>
                <w:szCs w:val="22"/>
                <w:lang w:eastAsia="en-AU"/>
              </w:rPr>
              <w:drawing>
                <wp:inline distT="0" distB="0" distL="0" distR="0" wp14:anchorId="2B2826F8" wp14:editId="022B0C2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6D7142"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6D7142"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6D7142" w:rsidRDefault="00322B27" w:rsidP="00BD1817">
            <w:pPr>
              <w:pStyle w:val="TableText"/>
              <w:keepNext/>
              <w:rPr>
                <w:rFonts w:ascii="Public Sans" w:hAnsi="Public Sans" w:cs="Arial"/>
                <w:sz w:val="22"/>
                <w:szCs w:val="22"/>
              </w:rPr>
            </w:pPr>
          </w:p>
        </w:tc>
      </w:tr>
      <w:tr w:rsidR="00322B27" w:rsidRPr="006D7142"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6D7142"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D25C2AB" w14:textId="77777777" w:rsidR="00322B27" w:rsidRPr="006D7142" w:rsidRDefault="00322B27" w:rsidP="006C5A71">
            <w:pPr>
              <w:pStyle w:val="TableText"/>
              <w:keepNext/>
              <w:rPr>
                <w:rFonts w:ascii="Public Sans" w:hAnsi="Public Sans" w:cs="Arial"/>
                <w:sz w:val="22"/>
                <w:szCs w:val="22"/>
              </w:rPr>
            </w:pPr>
            <w:r w:rsidRPr="006D7142">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6D7142" w:rsidRDefault="00322B27" w:rsidP="00513560">
            <w:pPr>
              <w:rPr>
                <w:rFonts w:ascii="Public Sans" w:hAnsi="Public Sans" w:cs="Arial"/>
                <w:szCs w:val="22"/>
              </w:rPr>
            </w:pPr>
            <w:r w:rsidRPr="006D7142">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65132931" w:rsidR="00322B27" w:rsidRPr="006D7142" w:rsidRDefault="00195248" w:rsidP="00BD1817">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6D7142"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6D7142" w:rsidRDefault="00322B27" w:rsidP="006C5A71">
            <w:pPr>
              <w:pStyle w:val="TableText"/>
              <w:keepNext/>
              <w:rPr>
                <w:rFonts w:ascii="Public Sans" w:hAnsi="Public Sans" w:cs="Arial"/>
                <w:sz w:val="22"/>
                <w:szCs w:val="22"/>
              </w:rPr>
            </w:pPr>
            <w:r w:rsidRPr="006D7142">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6D7142" w:rsidRDefault="00322B27" w:rsidP="00513560">
            <w:pPr>
              <w:rPr>
                <w:rFonts w:ascii="Public Sans" w:hAnsi="Public Sans" w:cs="Arial"/>
                <w:szCs w:val="22"/>
              </w:rPr>
            </w:pPr>
            <w:r w:rsidRPr="006D7142">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66EF1542" w:rsidR="00322B27" w:rsidRPr="006D7142" w:rsidRDefault="00195248" w:rsidP="00BD1817">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r w:rsidR="00322B27" w:rsidRPr="006D7142"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6D7142"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6D7142" w:rsidRDefault="00322B27" w:rsidP="006C5A71">
            <w:pPr>
              <w:pStyle w:val="TableText"/>
              <w:rPr>
                <w:rFonts w:ascii="Public Sans" w:hAnsi="Public Sans" w:cs="Arial"/>
                <w:sz w:val="22"/>
                <w:szCs w:val="22"/>
              </w:rPr>
            </w:pPr>
            <w:r w:rsidRPr="006D7142">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6D7142" w:rsidRDefault="00322B27" w:rsidP="00513560">
            <w:pPr>
              <w:rPr>
                <w:rFonts w:ascii="Public Sans" w:hAnsi="Public Sans" w:cs="Arial"/>
                <w:szCs w:val="22"/>
              </w:rPr>
            </w:pPr>
            <w:r w:rsidRPr="006D7142">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0192E374" w:rsidR="00322B27" w:rsidRPr="006D7142" w:rsidRDefault="00195248" w:rsidP="00BD1817">
                <w:pPr>
                  <w:pStyle w:val="TableText"/>
                  <w:keepNext/>
                  <w:rPr>
                    <w:rFonts w:ascii="Public Sans" w:hAnsi="Public Sans" w:cs="Arial"/>
                    <w:sz w:val="22"/>
                    <w:szCs w:val="22"/>
                  </w:rPr>
                </w:pPr>
                <w:r w:rsidRPr="006D7142">
                  <w:rPr>
                    <w:rFonts w:ascii="Public Sans" w:hAnsi="Public Sans" w:cs="Arial"/>
                    <w:sz w:val="22"/>
                    <w:szCs w:val="22"/>
                  </w:rPr>
                  <w:t>Foundational</w:t>
                </w:r>
              </w:p>
            </w:tc>
          </w:sdtContent>
        </w:sdt>
      </w:tr>
    </w:tbl>
    <w:p w14:paraId="1FE5C91D" w14:textId="77777777" w:rsidR="00197F8F" w:rsidRPr="006D7142" w:rsidRDefault="00197F8F" w:rsidP="00CB121B">
      <w:pPr>
        <w:rPr>
          <w:rFonts w:ascii="Public Sans" w:hAnsi="Public Sans" w:cs="Arial"/>
        </w:rPr>
      </w:pPr>
    </w:p>
    <w:sectPr w:rsidR="00197F8F" w:rsidRPr="006D7142" w:rsidSect="003A342B">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81D3" w14:textId="77777777" w:rsidR="004F1FAA" w:rsidRDefault="004F1FAA" w:rsidP="00AC273D">
      <w:pPr>
        <w:spacing w:after="0" w:line="240" w:lineRule="auto"/>
      </w:pPr>
      <w:r>
        <w:separator/>
      </w:r>
    </w:p>
  </w:endnote>
  <w:endnote w:type="continuationSeparator" w:id="0">
    <w:p w14:paraId="7826E69C" w14:textId="77777777" w:rsidR="004F1FAA" w:rsidRDefault="004F1FAA"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22CEC819" w:rsidR="008C131B" w:rsidRPr="000B295D" w:rsidRDefault="008C131B" w:rsidP="00A063C8">
          <w:pPr>
            <w:pStyle w:val="Footer"/>
            <w:tabs>
              <w:tab w:val="clear" w:pos="4513"/>
              <w:tab w:val="center" w:pos="5315"/>
            </w:tabs>
            <w:rPr>
              <w:rFonts w:ascii="Public Sans" w:hAnsi="Public Sans"/>
            </w:rPr>
          </w:pPr>
          <w:bookmarkStart w:id="12" w:name="Footer_Title"/>
          <w:bookmarkEnd w:id="12"/>
          <w:r>
            <w:rPr>
              <w:color w:val="000000" w:themeColor="text1"/>
            </w:rPr>
            <w:tab/>
          </w:r>
          <w:r w:rsidRPr="000B295D">
            <w:rPr>
              <w:rFonts w:ascii="Public Sans" w:hAnsi="Public Sans"/>
              <w:noProof/>
              <w:lang w:eastAsia="en-AU"/>
            </w:rPr>
            <w:fldChar w:fldCharType="begin"/>
          </w:r>
          <w:r w:rsidRPr="000B295D">
            <w:rPr>
              <w:rFonts w:ascii="Public Sans" w:hAnsi="Public Sans"/>
              <w:noProof/>
              <w:lang w:eastAsia="en-AU"/>
            </w:rPr>
            <w:instrText xml:space="preserve"> PAGE  \* Arabic </w:instrText>
          </w:r>
          <w:r w:rsidRPr="000B295D">
            <w:rPr>
              <w:rFonts w:ascii="Public Sans" w:hAnsi="Public Sans"/>
              <w:noProof/>
              <w:lang w:eastAsia="en-AU"/>
            </w:rPr>
            <w:fldChar w:fldCharType="separate"/>
          </w:r>
          <w:r w:rsidR="003C24A6" w:rsidRPr="000B295D">
            <w:rPr>
              <w:rFonts w:ascii="Public Sans" w:hAnsi="Public Sans"/>
              <w:noProof/>
              <w:lang w:eastAsia="en-AU"/>
            </w:rPr>
            <w:t>6</w:t>
          </w:r>
          <w:r w:rsidRPr="000B295D">
            <w:rPr>
              <w:rFonts w:ascii="Public Sans" w:hAnsi="Public Sans"/>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4582C88E" w:rsidR="008C131B" w:rsidRPr="000B295D" w:rsidRDefault="008C131B" w:rsidP="00732229">
          <w:pPr>
            <w:pStyle w:val="Footer"/>
            <w:tabs>
              <w:tab w:val="clear" w:pos="4513"/>
              <w:tab w:val="center" w:pos="5315"/>
            </w:tabs>
            <w:rPr>
              <w:rFonts w:ascii="Public Sans" w:hAnsi="Public Sans"/>
            </w:rPr>
          </w:pPr>
          <w:r>
            <w:rPr>
              <w:color w:val="000000" w:themeColor="text1"/>
            </w:rPr>
            <w:tab/>
          </w:r>
          <w:r w:rsidRPr="000B295D">
            <w:rPr>
              <w:rFonts w:ascii="Public Sans" w:hAnsi="Public Sans"/>
              <w:noProof/>
              <w:lang w:eastAsia="en-AU"/>
            </w:rPr>
            <w:fldChar w:fldCharType="begin"/>
          </w:r>
          <w:r w:rsidRPr="000B295D">
            <w:rPr>
              <w:rFonts w:ascii="Public Sans" w:hAnsi="Public Sans"/>
              <w:noProof/>
              <w:lang w:eastAsia="en-AU"/>
            </w:rPr>
            <w:instrText xml:space="preserve"> PAGE  \* Arabic </w:instrText>
          </w:r>
          <w:r w:rsidRPr="000B295D">
            <w:rPr>
              <w:rFonts w:ascii="Public Sans" w:hAnsi="Public Sans"/>
              <w:noProof/>
              <w:lang w:eastAsia="en-AU"/>
            </w:rPr>
            <w:fldChar w:fldCharType="separate"/>
          </w:r>
          <w:r w:rsidR="00764DFC" w:rsidRPr="000B295D">
            <w:rPr>
              <w:rFonts w:ascii="Public Sans" w:hAnsi="Public Sans"/>
              <w:noProof/>
              <w:lang w:eastAsia="en-AU"/>
            </w:rPr>
            <w:t>1</w:t>
          </w:r>
          <w:r w:rsidRPr="000B295D">
            <w:rPr>
              <w:rFonts w:ascii="Public Sans" w:hAnsi="Public Sans"/>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0415" w14:textId="77777777" w:rsidR="004F1FAA" w:rsidRDefault="004F1FAA" w:rsidP="00AC273D">
      <w:pPr>
        <w:spacing w:after="0" w:line="240" w:lineRule="auto"/>
      </w:pPr>
      <w:r>
        <w:separator/>
      </w:r>
    </w:p>
  </w:footnote>
  <w:footnote w:type="continuationSeparator" w:id="0">
    <w:p w14:paraId="1731A6F3" w14:textId="77777777" w:rsidR="004F1FAA" w:rsidRDefault="004F1FAA"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89D" w14:textId="6AE69814" w:rsidR="008C131B" w:rsidRDefault="003A0AE4" w:rsidP="00766964">
    <w:pPr>
      <w:ind w:left="6480" w:firstLine="720"/>
    </w:pPr>
    <w:r>
      <w:rPr>
        <w:noProof/>
      </w:rPr>
      <w:drawing>
        <wp:anchor distT="0" distB="0" distL="114300" distR="114300" simplePos="0" relativeHeight="251658240" behindDoc="0" locked="0" layoutInCell="1" allowOverlap="1" wp14:anchorId="09A14307" wp14:editId="419228CB">
          <wp:simplePos x="0" y="0"/>
          <wp:positionH relativeFrom="column">
            <wp:posOffset>5874385</wp:posOffset>
          </wp:positionH>
          <wp:positionV relativeFrom="paragraph">
            <wp:posOffset>-93980</wp:posOffset>
          </wp:positionV>
          <wp:extent cx="827405" cy="899795"/>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7405" cy="899795"/>
                  </a:xfrm>
                  <a:prstGeom prst="rect">
                    <a:avLst/>
                  </a:prstGeom>
                </pic:spPr>
              </pic:pic>
            </a:graphicData>
          </a:graphic>
        </wp:anchor>
      </w:drawing>
    </w:r>
    <w:r w:rsidR="008C131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3E3AA55C" w:rsidR="008C131B" w:rsidRPr="000B295D" w:rsidRDefault="008C131B" w:rsidP="00E832CB">
          <w:pPr>
            <w:pStyle w:val="TitleSub"/>
            <w:spacing w:after="0"/>
            <w:rPr>
              <w:rFonts w:ascii="Public Sans" w:hAnsi="Public Sans" w:cs="Arial"/>
              <w:b/>
              <w:sz w:val="40"/>
            </w:rPr>
          </w:pPr>
          <w:r w:rsidRPr="000B295D">
            <w:rPr>
              <w:rFonts w:ascii="Public Sans" w:hAnsi="Public Sans" w:cs="Arial"/>
              <w:b/>
              <w:sz w:val="40"/>
            </w:rPr>
            <w:t xml:space="preserve">ROLE DESCRIPTION </w:t>
          </w:r>
        </w:p>
        <w:p w14:paraId="0923926A" w14:textId="77777777" w:rsidR="008C131B" w:rsidRPr="000B295D" w:rsidRDefault="008C131B" w:rsidP="000C65EE">
          <w:pPr>
            <w:pStyle w:val="Title"/>
            <w:spacing w:line="240" w:lineRule="auto"/>
            <w:rPr>
              <w:rFonts w:ascii="Public Sans" w:hAnsi="Public Sans"/>
              <w:sz w:val="12"/>
            </w:rPr>
          </w:pPr>
          <w:bookmarkStart w:id="13" w:name="Title"/>
          <w:bookmarkEnd w:id="13"/>
          <w:r w:rsidRPr="000B295D">
            <w:rPr>
              <w:rFonts w:ascii="Public Sans" w:hAnsi="Public Sans"/>
              <w:sz w:val="12"/>
            </w:rPr>
            <w:t xml:space="preserve"> </w:t>
          </w:r>
        </w:p>
        <w:p w14:paraId="33864163" w14:textId="5CD8BF6E" w:rsidR="008C131B" w:rsidRPr="00753C8C" w:rsidRDefault="0008369F" w:rsidP="00291CC9">
          <w:pPr>
            <w:pStyle w:val="Title"/>
            <w:spacing w:line="240" w:lineRule="auto"/>
            <w:rPr>
              <w:sz w:val="22"/>
              <w:szCs w:val="22"/>
            </w:rPr>
          </w:pPr>
          <w:r w:rsidRPr="000B295D">
            <w:rPr>
              <w:rFonts w:ascii="Public Sans" w:hAnsi="Public Sans" w:cstheme="majorHAnsi"/>
              <w:sz w:val="32"/>
              <w:szCs w:val="32"/>
            </w:rPr>
            <w:t>Senior Client Service Office</w:t>
          </w:r>
          <w:r w:rsidR="0076395B" w:rsidRPr="000B295D">
            <w:rPr>
              <w:rFonts w:ascii="Public Sans" w:hAnsi="Public Sans" w:cstheme="majorHAnsi"/>
              <w:sz w:val="32"/>
              <w:szCs w:val="32"/>
            </w:rPr>
            <w:t>r</w:t>
          </w:r>
          <w:r w:rsidR="000B295D">
            <w:rPr>
              <w:rFonts w:ascii="Public Sans" w:hAnsi="Public Sans" w:cstheme="majorHAnsi"/>
              <w:sz w:val="32"/>
              <w:szCs w:val="32"/>
            </w:rPr>
            <w:t xml:space="preserve"> (</w:t>
          </w:r>
          <w:r w:rsidR="00FD3FA8">
            <w:rPr>
              <w:rFonts w:ascii="Public Sans" w:hAnsi="Public Sans" w:cstheme="majorHAnsi"/>
              <w:sz w:val="32"/>
              <w:szCs w:val="32"/>
            </w:rPr>
            <w:t>Specialist)</w:t>
          </w:r>
          <w:r w:rsidR="00FD3FA8">
            <w:rPr>
              <w:rFonts w:asciiTheme="majorHAnsi" w:hAnsiTheme="majorHAnsi" w:cstheme="majorHAnsi"/>
              <w:sz w:val="32"/>
              <w:szCs w:val="32"/>
            </w:rPr>
            <w:t xml:space="preserve">  </w:t>
          </w:r>
          <w:r w:rsidR="0076395B">
            <w:rPr>
              <w:rFonts w:asciiTheme="majorHAnsi" w:hAnsiTheme="majorHAnsi" w:cstheme="majorHAnsi"/>
              <w:sz w:val="32"/>
              <w:szCs w:val="32"/>
            </w:rPr>
            <w:t xml:space="preserve">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5pt;height:24.6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3066F"/>
    <w:multiLevelType w:val="hybridMultilevel"/>
    <w:tmpl w:val="EA0C4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830240"/>
    <w:multiLevelType w:val="hybridMultilevel"/>
    <w:tmpl w:val="07D4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4147113">
    <w:abstractNumId w:val="9"/>
  </w:num>
  <w:num w:numId="2" w16cid:durableId="251283225">
    <w:abstractNumId w:val="7"/>
  </w:num>
  <w:num w:numId="3" w16cid:durableId="9526254">
    <w:abstractNumId w:val="6"/>
  </w:num>
  <w:num w:numId="4" w16cid:durableId="1244603368">
    <w:abstractNumId w:val="5"/>
  </w:num>
  <w:num w:numId="5" w16cid:durableId="1934512229">
    <w:abstractNumId w:val="4"/>
  </w:num>
  <w:num w:numId="6" w16cid:durableId="298922172">
    <w:abstractNumId w:val="8"/>
  </w:num>
  <w:num w:numId="7" w16cid:durableId="1351226943">
    <w:abstractNumId w:val="3"/>
  </w:num>
  <w:num w:numId="8" w16cid:durableId="1847208049">
    <w:abstractNumId w:val="2"/>
  </w:num>
  <w:num w:numId="9" w16cid:durableId="284655160">
    <w:abstractNumId w:val="1"/>
  </w:num>
  <w:num w:numId="10" w16cid:durableId="712849607">
    <w:abstractNumId w:val="0"/>
  </w:num>
  <w:num w:numId="11" w16cid:durableId="1871065859">
    <w:abstractNumId w:val="11"/>
  </w:num>
  <w:num w:numId="12" w16cid:durableId="1931499179">
    <w:abstractNumId w:val="24"/>
  </w:num>
  <w:num w:numId="13" w16cid:durableId="704866242">
    <w:abstractNumId w:val="24"/>
  </w:num>
  <w:num w:numId="14" w16cid:durableId="1273173181">
    <w:abstractNumId w:val="13"/>
  </w:num>
  <w:num w:numId="15" w16cid:durableId="566065239">
    <w:abstractNumId w:val="13"/>
  </w:num>
  <w:num w:numId="16" w16cid:durableId="786121880">
    <w:abstractNumId w:val="13"/>
  </w:num>
  <w:num w:numId="17" w16cid:durableId="1233007092">
    <w:abstractNumId w:val="13"/>
  </w:num>
  <w:num w:numId="18" w16cid:durableId="924993028">
    <w:abstractNumId w:val="13"/>
  </w:num>
  <w:num w:numId="19" w16cid:durableId="26954063">
    <w:abstractNumId w:val="13"/>
  </w:num>
  <w:num w:numId="20" w16cid:durableId="18816728">
    <w:abstractNumId w:val="25"/>
  </w:num>
  <w:num w:numId="21" w16cid:durableId="1740908365">
    <w:abstractNumId w:val="22"/>
  </w:num>
  <w:num w:numId="22" w16cid:durableId="1244725739">
    <w:abstractNumId w:val="19"/>
  </w:num>
  <w:num w:numId="23" w16cid:durableId="729157727">
    <w:abstractNumId w:val="20"/>
  </w:num>
  <w:num w:numId="24" w16cid:durableId="1831748706">
    <w:abstractNumId w:val="16"/>
  </w:num>
  <w:num w:numId="25" w16cid:durableId="1929651487">
    <w:abstractNumId w:val="26"/>
  </w:num>
  <w:num w:numId="26" w16cid:durableId="1958949045">
    <w:abstractNumId w:val="9"/>
  </w:num>
  <w:num w:numId="27" w16cid:durableId="241332362">
    <w:abstractNumId w:val="23"/>
  </w:num>
  <w:num w:numId="28" w16cid:durableId="1669669523">
    <w:abstractNumId w:val="17"/>
  </w:num>
  <w:num w:numId="29" w16cid:durableId="1156413531">
    <w:abstractNumId w:val="14"/>
  </w:num>
  <w:num w:numId="30" w16cid:durableId="1150749046">
    <w:abstractNumId w:val="12"/>
  </w:num>
  <w:num w:numId="31" w16cid:durableId="1813524444">
    <w:abstractNumId w:val="9"/>
  </w:num>
  <w:num w:numId="32" w16cid:durableId="111245044">
    <w:abstractNumId w:val="18"/>
  </w:num>
  <w:num w:numId="33" w16cid:durableId="643780792">
    <w:abstractNumId w:val="15"/>
  </w:num>
  <w:num w:numId="34" w16cid:durableId="118695619">
    <w:abstractNumId w:val="21"/>
  </w:num>
  <w:num w:numId="35" w16cid:durableId="8722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A3wMcZut3ur+igYimX9UCNthaZTodX4P0AHwn33OkcNAF74+u/HIR8Cu/C42MJnuJLWswdIGytkI1twd5Xp+WA==" w:salt="qkaRe/eprwjF8Chia6KmR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369F"/>
    <w:rsid w:val="0008547B"/>
    <w:rsid w:val="00086B43"/>
    <w:rsid w:val="00086B68"/>
    <w:rsid w:val="0009116E"/>
    <w:rsid w:val="000915AA"/>
    <w:rsid w:val="00092A99"/>
    <w:rsid w:val="00094538"/>
    <w:rsid w:val="000967EB"/>
    <w:rsid w:val="000975C1"/>
    <w:rsid w:val="00097C7F"/>
    <w:rsid w:val="00097CC6"/>
    <w:rsid w:val="000A05CC"/>
    <w:rsid w:val="000A16AF"/>
    <w:rsid w:val="000A417B"/>
    <w:rsid w:val="000A4E9E"/>
    <w:rsid w:val="000A561C"/>
    <w:rsid w:val="000A75A4"/>
    <w:rsid w:val="000B127E"/>
    <w:rsid w:val="000B1FDB"/>
    <w:rsid w:val="000B295D"/>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56238"/>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524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0220"/>
    <w:rsid w:val="00271FAE"/>
    <w:rsid w:val="002735A9"/>
    <w:rsid w:val="0028049D"/>
    <w:rsid w:val="00280676"/>
    <w:rsid w:val="00284FE6"/>
    <w:rsid w:val="00285EA6"/>
    <w:rsid w:val="002863B5"/>
    <w:rsid w:val="00286B47"/>
    <w:rsid w:val="002872F7"/>
    <w:rsid w:val="002901B8"/>
    <w:rsid w:val="00291CC9"/>
    <w:rsid w:val="0029435E"/>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0BC4"/>
    <w:rsid w:val="00321089"/>
    <w:rsid w:val="003212A3"/>
    <w:rsid w:val="00322B27"/>
    <w:rsid w:val="00324126"/>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28AD"/>
    <w:rsid w:val="00375A2D"/>
    <w:rsid w:val="00376812"/>
    <w:rsid w:val="00376972"/>
    <w:rsid w:val="003776D3"/>
    <w:rsid w:val="00385104"/>
    <w:rsid w:val="00385EAF"/>
    <w:rsid w:val="003904D7"/>
    <w:rsid w:val="00394D28"/>
    <w:rsid w:val="003A0AE4"/>
    <w:rsid w:val="003A342B"/>
    <w:rsid w:val="003A5831"/>
    <w:rsid w:val="003A7296"/>
    <w:rsid w:val="003C0BA4"/>
    <w:rsid w:val="003C24A6"/>
    <w:rsid w:val="003C410C"/>
    <w:rsid w:val="003C481F"/>
    <w:rsid w:val="003C5C8D"/>
    <w:rsid w:val="003C6579"/>
    <w:rsid w:val="003D0EA6"/>
    <w:rsid w:val="003D0ECA"/>
    <w:rsid w:val="003D10D6"/>
    <w:rsid w:val="003D11C3"/>
    <w:rsid w:val="003D2DDC"/>
    <w:rsid w:val="003D37DB"/>
    <w:rsid w:val="003D44C2"/>
    <w:rsid w:val="003D6BF0"/>
    <w:rsid w:val="003D77D3"/>
    <w:rsid w:val="003E2E12"/>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0E7C"/>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B1E"/>
    <w:rsid w:val="004F1DB4"/>
    <w:rsid w:val="004F1FAA"/>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1BAB"/>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3EEB"/>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1920"/>
    <w:rsid w:val="005F2CA5"/>
    <w:rsid w:val="005F427B"/>
    <w:rsid w:val="005F4EC6"/>
    <w:rsid w:val="005F5991"/>
    <w:rsid w:val="005F7A3D"/>
    <w:rsid w:val="00601353"/>
    <w:rsid w:val="00602728"/>
    <w:rsid w:val="00604DCB"/>
    <w:rsid w:val="00611740"/>
    <w:rsid w:val="00611A2E"/>
    <w:rsid w:val="006203A9"/>
    <w:rsid w:val="00620CA4"/>
    <w:rsid w:val="00620EFB"/>
    <w:rsid w:val="00620F4A"/>
    <w:rsid w:val="00624400"/>
    <w:rsid w:val="00632EFD"/>
    <w:rsid w:val="0063412F"/>
    <w:rsid w:val="00634506"/>
    <w:rsid w:val="00635BBB"/>
    <w:rsid w:val="006367AD"/>
    <w:rsid w:val="00640B15"/>
    <w:rsid w:val="0064395B"/>
    <w:rsid w:val="00645B72"/>
    <w:rsid w:val="00651CEC"/>
    <w:rsid w:val="0065244C"/>
    <w:rsid w:val="00653588"/>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A717F"/>
    <w:rsid w:val="006B4035"/>
    <w:rsid w:val="006B592A"/>
    <w:rsid w:val="006C1B5E"/>
    <w:rsid w:val="006C1FBD"/>
    <w:rsid w:val="006C3E53"/>
    <w:rsid w:val="006C5A71"/>
    <w:rsid w:val="006C6EB0"/>
    <w:rsid w:val="006D7142"/>
    <w:rsid w:val="006E0883"/>
    <w:rsid w:val="006E41E5"/>
    <w:rsid w:val="006E5D2C"/>
    <w:rsid w:val="006E6D2F"/>
    <w:rsid w:val="006F2A07"/>
    <w:rsid w:val="006F390F"/>
    <w:rsid w:val="006F481B"/>
    <w:rsid w:val="006F6540"/>
    <w:rsid w:val="006F7045"/>
    <w:rsid w:val="00700589"/>
    <w:rsid w:val="0070281C"/>
    <w:rsid w:val="00713D4E"/>
    <w:rsid w:val="0071562A"/>
    <w:rsid w:val="0071604B"/>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395B"/>
    <w:rsid w:val="00764DFC"/>
    <w:rsid w:val="00766964"/>
    <w:rsid w:val="00766A1C"/>
    <w:rsid w:val="00766C18"/>
    <w:rsid w:val="00770FDC"/>
    <w:rsid w:val="00773F15"/>
    <w:rsid w:val="00780769"/>
    <w:rsid w:val="007830E1"/>
    <w:rsid w:val="00783BBC"/>
    <w:rsid w:val="007845C3"/>
    <w:rsid w:val="007878BD"/>
    <w:rsid w:val="00791F8E"/>
    <w:rsid w:val="007924CD"/>
    <w:rsid w:val="0079471C"/>
    <w:rsid w:val="00796201"/>
    <w:rsid w:val="0079771E"/>
    <w:rsid w:val="007A295B"/>
    <w:rsid w:val="007A3E74"/>
    <w:rsid w:val="007B05B2"/>
    <w:rsid w:val="007B3114"/>
    <w:rsid w:val="007C1E46"/>
    <w:rsid w:val="007C47A9"/>
    <w:rsid w:val="007C5680"/>
    <w:rsid w:val="007C76D0"/>
    <w:rsid w:val="007C7AE1"/>
    <w:rsid w:val="007D0E9F"/>
    <w:rsid w:val="007D127A"/>
    <w:rsid w:val="007D6D30"/>
    <w:rsid w:val="007E3E39"/>
    <w:rsid w:val="007F1AE2"/>
    <w:rsid w:val="007F366D"/>
    <w:rsid w:val="007F3905"/>
    <w:rsid w:val="007F5884"/>
    <w:rsid w:val="0080079A"/>
    <w:rsid w:val="00802CD3"/>
    <w:rsid w:val="008039E9"/>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56AB0"/>
    <w:rsid w:val="00856C9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6E4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0A"/>
    <w:rsid w:val="009933C0"/>
    <w:rsid w:val="00993AC0"/>
    <w:rsid w:val="00994854"/>
    <w:rsid w:val="00994B9F"/>
    <w:rsid w:val="00996A0E"/>
    <w:rsid w:val="009A0A5E"/>
    <w:rsid w:val="009A3B8F"/>
    <w:rsid w:val="009A6996"/>
    <w:rsid w:val="009A7ABD"/>
    <w:rsid w:val="009B3B93"/>
    <w:rsid w:val="009B79C0"/>
    <w:rsid w:val="009C0731"/>
    <w:rsid w:val="009C10F5"/>
    <w:rsid w:val="009C260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5F63"/>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36DEC"/>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05CBE"/>
    <w:rsid w:val="00D145C0"/>
    <w:rsid w:val="00D201B3"/>
    <w:rsid w:val="00D24E35"/>
    <w:rsid w:val="00D2560A"/>
    <w:rsid w:val="00D25C96"/>
    <w:rsid w:val="00D2725D"/>
    <w:rsid w:val="00D30028"/>
    <w:rsid w:val="00D315EF"/>
    <w:rsid w:val="00D34DFE"/>
    <w:rsid w:val="00D35E99"/>
    <w:rsid w:val="00D4689C"/>
    <w:rsid w:val="00D46DFC"/>
    <w:rsid w:val="00D50088"/>
    <w:rsid w:val="00D57BD0"/>
    <w:rsid w:val="00D60597"/>
    <w:rsid w:val="00D6122E"/>
    <w:rsid w:val="00D6282F"/>
    <w:rsid w:val="00D64C06"/>
    <w:rsid w:val="00D64DCD"/>
    <w:rsid w:val="00D66802"/>
    <w:rsid w:val="00D67528"/>
    <w:rsid w:val="00D67A8B"/>
    <w:rsid w:val="00D7553E"/>
    <w:rsid w:val="00D77339"/>
    <w:rsid w:val="00D77353"/>
    <w:rsid w:val="00D77D7D"/>
    <w:rsid w:val="00D83555"/>
    <w:rsid w:val="00D87288"/>
    <w:rsid w:val="00D903AB"/>
    <w:rsid w:val="00D904C8"/>
    <w:rsid w:val="00D90845"/>
    <w:rsid w:val="00D90A0B"/>
    <w:rsid w:val="00D90C47"/>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067C"/>
    <w:rsid w:val="00DD1535"/>
    <w:rsid w:val="00DD15D6"/>
    <w:rsid w:val="00DD3989"/>
    <w:rsid w:val="00DD5869"/>
    <w:rsid w:val="00DD685B"/>
    <w:rsid w:val="00DE405D"/>
    <w:rsid w:val="00DE54F9"/>
    <w:rsid w:val="00DE6AF8"/>
    <w:rsid w:val="00DF047F"/>
    <w:rsid w:val="00DF3DC9"/>
    <w:rsid w:val="00DF3F93"/>
    <w:rsid w:val="00DF42A4"/>
    <w:rsid w:val="00DF59CB"/>
    <w:rsid w:val="00DF5F9A"/>
    <w:rsid w:val="00E04F5B"/>
    <w:rsid w:val="00E058FB"/>
    <w:rsid w:val="00E0672D"/>
    <w:rsid w:val="00E0750F"/>
    <w:rsid w:val="00E10BFC"/>
    <w:rsid w:val="00E12DDA"/>
    <w:rsid w:val="00E135C5"/>
    <w:rsid w:val="00E14D32"/>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1224"/>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520B"/>
    <w:rsid w:val="00F2621E"/>
    <w:rsid w:val="00F26622"/>
    <w:rsid w:val="00F26A4D"/>
    <w:rsid w:val="00F26F92"/>
    <w:rsid w:val="00F310FD"/>
    <w:rsid w:val="00F34477"/>
    <w:rsid w:val="00F34B25"/>
    <w:rsid w:val="00F359FF"/>
    <w:rsid w:val="00F37DDA"/>
    <w:rsid w:val="00F410B1"/>
    <w:rsid w:val="00F4142A"/>
    <w:rsid w:val="00F41DC7"/>
    <w:rsid w:val="00F4218D"/>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D3FA8"/>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305327E"/>
  <w15:docId w15:val="{55CEC37D-6D60-433B-BEC6-FA36713E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9330A"/>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27316790">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53B36"/>
    <w:rsid w:val="002E5D8C"/>
    <w:rsid w:val="003406DD"/>
    <w:rsid w:val="004A4EF2"/>
    <w:rsid w:val="00531BAB"/>
    <w:rsid w:val="0059691E"/>
    <w:rsid w:val="005A012E"/>
    <w:rsid w:val="005A37C6"/>
    <w:rsid w:val="00681C26"/>
    <w:rsid w:val="006A2F79"/>
    <w:rsid w:val="006A717F"/>
    <w:rsid w:val="0071604B"/>
    <w:rsid w:val="008039E9"/>
    <w:rsid w:val="00A11993"/>
    <w:rsid w:val="00A32830"/>
    <w:rsid w:val="00CC43E2"/>
    <w:rsid w:val="00D90C47"/>
    <w:rsid w:val="00E8448A"/>
    <w:rsid w:val="00F2520B"/>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254e1aa1ba25fa2633873a453e6c93ba">
  <xsd:schema xmlns:xsd="http://www.w3.org/2001/XMLSchema" xmlns:xs="http://www.w3.org/2001/XMLSchema" xmlns:p="http://schemas.microsoft.com/office/2006/metadata/properties" xmlns:ns2="3b192005-b57a-4be5-9bfa-49aab625e28e" targetNamespace="http://schemas.microsoft.com/office/2006/metadata/properties" ma:root="true" ma:fieldsID="f236f3a0f5cfc93aec0e35742aa6ac23"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2AC35-419D-4C87-AA1C-6AE2C3D04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A4527C-362C-4758-A056-0AEF82E5C754}">
  <ds:schemaRefs>
    <ds:schemaRef ds:uri="http://schemas.microsoft.com/sharepoint/v3/contenttype/forms"/>
  </ds:schemaRefs>
</ds:datastoreItem>
</file>

<file path=customXml/itemProps3.xml><?xml version="1.0" encoding="utf-8"?>
<ds:datastoreItem xmlns:ds="http://schemas.openxmlformats.org/officeDocument/2006/customXml" ds:itemID="{E453D689-1E84-4018-BBBC-29BDF811BEDE}">
  <ds:schemaRefs>
    <ds:schemaRef ds:uri="http://schemas.openxmlformats.org/officeDocument/2006/bibliography"/>
  </ds:schemaRefs>
</ds:datastoreItem>
</file>

<file path=customXml/itemProps4.xml><?xml version="1.0" encoding="utf-8"?>
<ds:datastoreItem xmlns:ds="http://schemas.openxmlformats.org/officeDocument/2006/customXml" ds:itemID="{46935A15-BDBC-4796-9C9F-38D90FFE249F}"/>
</file>

<file path=docProps/app.xml><?xml version="1.0" encoding="utf-8"?>
<Properties xmlns="http://schemas.openxmlformats.org/officeDocument/2006/extended-properties" xmlns:vt="http://schemas.openxmlformats.org/officeDocument/2006/docPropsVTypes">
  <Template>Role Description template[1].dotm</Template>
  <TotalTime>44</TotalTime>
  <Pages>6</Pages>
  <Words>1482</Words>
  <Characters>9446</Characters>
  <Application>Microsoft Office Word</Application>
  <DocSecurity>8</DocSecurity>
  <Lines>363</Lines>
  <Paragraphs>202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Tuano</dc:creator>
  <cp:keywords/>
  <dc:description/>
  <cp:lastModifiedBy>Emily Kassas</cp:lastModifiedBy>
  <cp:revision>26</cp:revision>
  <dcterms:created xsi:type="dcterms:W3CDTF">2025-11-10T06:02:00Z</dcterms:created>
  <dcterms:modified xsi:type="dcterms:W3CDTF">2025-11-11T02:39:00Z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