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60233A"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60233A" w:rsidRPr="002465E5" w:rsidRDefault="0060233A" w:rsidP="0060233A">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8FC29A1" w:rsidR="0060233A" w:rsidRPr="002465E5" w:rsidRDefault="0060233A" w:rsidP="0060233A">
            <w:pPr>
              <w:pStyle w:val="TableTextWhite"/>
              <w:rPr>
                <w:rFonts w:ascii="Public Sans" w:hAnsi="Public Sans" w:cs="Arial"/>
                <w:color w:val="auto"/>
                <w:sz w:val="22"/>
                <w:szCs w:val="22"/>
              </w:rPr>
            </w:pPr>
            <w:r w:rsidRPr="0045767B">
              <w:rPr>
                <w:rFonts w:ascii="Public Sans" w:hAnsi="Public Sans"/>
                <w:color w:val="auto"/>
                <w:sz w:val="22"/>
                <w:szCs w:val="22"/>
              </w:rPr>
              <w:t>Housing, Disability and District Services (Southern) / S</w:t>
            </w:r>
            <w:r>
              <w:rPr>
                <w:rFonts w:ascii="Public Sans" w:hAnsi="Public Sans"/>
                <w:color w:val="auto"/>
                <w:sz w:val="22"/>
                <w:szCs w:val="22"/>
              </w:rPr>
              <w:t xml:space="preserve">outheast, South and North Sydney </w:t>
            </w:r>
            <w:r w:rsidRPr="009208F0">
              <w:rPr>
                <w:rFonts w:ascii="Public Sans" w:hAnsi="Public Sans"/>
                <w:color w:val="auto"/>
                <w:sz w:val="22"/>
                <w:szCs w:val="22"/>
              </w:rPr>
              <w:t>NSW Districts</w:t>
            </w:r>
          </w:p>
        </w:tc>
      </w:tr>
      <w:tr w:rsidR="0060233A"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60233A" w:rsidRPr="002465E5" w:rsidRDefault="0060233A" w:rsidP="0060233A">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FFFF810" w:rsidR="0060233A" w:rsidRPr="002465E5" w:rsidRDefault="0060233A" w:rsidP="0060233A">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8BD002B" w:rsidR="00766964" w:rsidRPr="002465E5" w:rsidRDefault="0060233A" w:rsidP="0042689D">
            <w:pPr>
              <w:pStyle w:val="TableTextWhite"/>
              <w:rPr>
                <w:rFonts w:ascii="Public Sans" w:hAnsi="Public Sans" w:cs="Arial"/>
                <w:color w:val="auto"/>
                <w:sz w:val="22"/>
                <w:szCs w:val="22"/>
              </w:rPr>
            </w:pPr>
            <w:r w:rsidRPr="0060233A">
              <w:rPr>
                <w:rFonts w:ascii="Public Sans" w:hAnsi="Public Sans" w:cs="Arial"/>
                <w:color w:val="auto"/>
                <w:sz w:val="22"/>
                <w:szCs w:val="22"/>
              </w:rPr>
              <w:t>1119192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387B6B03"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60233A" w:rsidRPr="0060233A">
              <w:rPr>
                <w:rFonts w:ascii="Public Sans" w:hAnsi="Public Sans" w:cs="Arial"/>
                <w:b/>
                <w:color w:val="auto"/>
                <w:sz w:val="22"/>
                <w:szCs w:val="22"/>
              </w:rPr>
              <w:t>SES 022</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2465E5" w:rsidRDefault="007D1591" w:rsidP="007D1591">
      <w:pPr>
        <w:pStyle w:val="Heading1"/>
        <w:rPr>
          <w:rFonts w:ascii="Public Sans" w:hAnsi="Public Sans" w:cstheme="minorHAnsi"/>
          <w:sz w:val="22"/>
          <w:szCs w:val="22"/>
        </w:rPr>
      </w:pPr>
      <w:r w:rsidRPr="002465E5">
        <w:rPr>
          <w:rFonts w:ascii="Public Sans" w:hAnsi="Public Sans"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lastRenderedPageBreak/>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lastRenderedPageBreak/>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8"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4F4EA4B8">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397E3F60">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lastRenderedPageBreak/>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6F095154">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115C9E71">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lastRenderedPageBreak/>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66883D4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08FD">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9179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B38055F" w:rsidR="008C131B" w:rsidRDefault="0060233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261E9E7" wp14:editId="77552D86">
          <wp:simplePos x="0" y="0"/>
          <wp:positionH relativeFrom="page">
            <wp:posOffset>6034586</wp:posOffset>
          </wp:positionH>
          <wp:positionV relativeFrom="page">
            <wp:posOffset>456656</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F32DFEF"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1D700B7" w:rsidR="008C131B" w:rsidRPr="00D46DFC" w:rsidRDefault="00AC421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442555">
    <w:abstractNumId w:val="9"/>
  </w:num>
  <w:num w:numId="2" w16cid:durableId="298462042">
    <w:abstractNumId w:val="7"/>
  </w:num>
  <w:num w:numId="3" w16cid:durableId="1186747265">
    <w:abstractNumId w:val="6"/>
  </w:num>
  <w:num w:numId="4" w16cid:durableId="1436636299">
    <w:abstractNumId w:val="5"/>
  </w:num>
  <w:num w:numId="5" w16cid:durableId="2142770663">
    <w:abstractNumId w:val="4"/>
  </w:num>
  <w:num w:numId="6" w16cid:durableId="1072503393">
    <w:abstractNumId w:val="8"/>
  </w:num>
  <w:num w:numId="7" w16cid:durableId="1206407222">
    <w:abstractNumId w:val="3"/>
  </w:num>
  <w:num w:numId="8" w16cid:durableId="1552956391">
    <w:abstractNumId w:val="2"/>
  </w:num>
  <w:num w:numId="9" w16cid:durableId="1707218330">
    <w:abstractNumId w:val="1"/>
  </w:num>
  <w:num w:numId="10" w16cid:durableId="173154735">
    <w:abstractNumId w:val="0"/>
  </w:num>
  <w:num w:numId="11" w16cid:durableId="418404454">
    <w:abstractNumId w:val="10"/>
  </w:num>
  <w:num w:numId="12" w16cid:durableId="639655926">
    <w:abstractNumId w:val="23"/>
  </w:num>
  <w:num w:numId="13" w16cid:durableId="50424315">
    <w:abstractNumId w:val="23"/>
  </w:num>
  <w:num w:numId="14" w16cid:durableId="668562306">
    <w:abstractNumId w:val="13"/>
  </w:num>
  <w:num w:numId="15" w16cid:durableId="1925145983">
    <w:abstractNumId w:val="13"/>
  </w:num>
  <w:num w:numId="16" w16cid:durableId="1314721723">
    <w:abstractNumId w:val="13"/>
  </w:num>
  <w:num w:numId="17" w16cid:durableId="117381698">
    <w:abstractNumId w:val="13"/>
  </w:num>
  <w:num w:numId="18" w16cid:durableId="1070276152">
    <w:abstractNumId w:val="13"/>
  </w:num>
  <w:num w:numId="19" w16cid:durableId="907612890">
    <w:abstractNumId w:val="13"/>
  </w:num>
  <w:num w:numId="20" w16cid:durableId="2015646836">
    <w:abstractNumId w:val="24"/>
  </w:num>
  <w:num w:numId="21" w16cid:durableId="1387335183">
    <w:abstractNumId w:val="21"/>
  </w:num>
  <w:num w:numId="22" w16cid:durableId="133790832">
    <w:abstractNumId w:val="19"/>
  </w:num>
  <w:num w:numId="23" w16cid:durableId="2097633973">
    <w:abstractNumId w:val="20"/>
  </w:num>
  <w:num w:numId="24" w16cid:durableId="1125385599">
    <w:abstractNumId w:val="15"/>
  </w:num>
  <w:num w:numId="25" w16cid:durableId="310066033">
    <w:abstractNumId w:val="25"/>
  </w:num>
  <w:num w:numId="26" w16cid:durableId="1403797252">
    <w:abstractNumId w:val="9"/>
  </w:num>
  <w:num w:numId="27" w16cid:durableId="293483931">
    <w:abstractNumId w:val="22"/>
  </w:num>
  <w:num w:numId="28" w16cid:durableId="794374323">
    <w:abstractNumId w:val="17"/>
  </w:num>
  <w:num w:numId="29" w16cid:durableId="941575737">
    <w:abstractNumId w:val="14"/>
  </w:num>
  <w:num w:numId="30" w16cid:durableId="1432966951">
    <w:abstractNumId w:val="12"/>
  </w:num>
  <w:num w:numId="31" w16cid:durableId="2147121788">
    <w:abstractNumId w:val="9"/>
  </w:num>
  <w:num w:numId="32" w16cid:durableId="318776254">
    <w:abstractNumId w:val="18"/>
  </w:num>
  <w:num w:numId="33" w16cid:durableId="60368507">
    <w:abstractNumId w:val="16"/>
  </w:num>
  <w:num w:numId="34" w16cid:durableId="507864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AN3bT4zMISdi4uET9PK7tzqgnryJhXs4euonj/PHPrtD0Rd6R6MLLDLv2ztBRvwBVx6dePK5q1FVcOTV7WVmsA==" w:salt="8ancIBEnrlsvdx37V5E4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33A"/>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TotalTime>
  <Pages>8</Pages>
  <Words>1933</Words>
  <Characters>12288</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16</cp:revision>
  <dcterms:created xsi:type="dcterms:W3CDTF">2021-10-18T21:15:00Z</dcterms:created>
  <dcterms:modified xsi:type="dcterms:W3CDTF">2023-03-28T05:21:00Z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