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691EF" w14:textId="77777777" w:rsidR="002D0E95" w:rsidRDefault="0039701A" w:rsidP="000B0446">
      <w:r w:rsidRPr="006416F0">
        <w:t>The NSW Government response to the Disability Royal Commission</w:t>
      </w:r>
      <w:r w:rsidR="00F90FA3">
        <w:t xml:space="preserve"> (DRC)</w:t>
      </w:r>
      <w:r w:rsidRPr="006416F0">
        <w:t xml:space="preserve"> includes a number of commitments</w:t>
      </w:r>
      <w:r w:rsidR="005B1085">
        <w:t xml:space="preserve"> and</w:t>
      </w:r>
      <w:r w:rsidR="00D7452E">
        <w:t xml:space="preserve"> actions</w:t>
      </w:r>
      <w:r w:rsidR="0043132F">
        <w:t xml:space="preserve"> </w:t>
      </w:r>
      <w:r w:rsidR="002D0E95">
        <w:t>to address violence, abuse, neglect and exploitation of people with disability, increase the available of supports and improve the inclusivity of mainstream service systems</w:t>
      </w:r>
      <w:r w:rsidR="0043132F">
        <w:t xml:space="preserve">. </w:t>
      </w:r>
    </w:p>
    <w:p w14:paraId="23872AF7" w14:textId="3F75B442" w:rsidR="00213893" w:rsidRPr="006416F0" w:rsidRDefault="0039701A" w:rsidP="00214FBD">
      <w:pPr>
        <w:pStyle w:val="BodyText"/>
        <w:rPr>
          <w:i/>
        </w:rPr>
      </w:pPr>
      <w:r w:rsidRPr="006416F0">
        <w:t>The purpose of this document is to present the key actions the NSW Government will take over the next year to further consider and act on the recommendations.</w:t>
      </w:r>
    </w:p>
    <w:tbl>
      <w:tblPr>
        <w:tblStyle w:val="TableGrid"/>
        <w:tblW w:w="0" w:type="auto"/>
        <w:tblInd w:w="113" w:type="dxa"/>
        <w:tblLayout w:type="fixed"/>
        <w:tblCellMar>
          <w:right w:w="28" w:type="dxa"/>
        </w:tblCellMar>
        <w:tblLook w:val="04A0" w:firstRow="1" w:lastRow="0" w:firstColumn="1" w:lastColumn="0" w:noHBand="0" w:noVBand="1"/>
      </w:tblPr>
      <w:tblGrid>
        <w:gridCol w:w="9521"/>
        <w:gridCol w:w="2977"/>
        <w:gridCol w:w="2517"/>
      </w:tblGrid>
      <w:tr w:rsidR="005B1FFD" w:rsidRPr="00353F81" w14:paraId="65DC8384" w14:textId="77777777" w:rsidTr="006247A1">
        <w:trPr>
          <w:tblHeader/>
        </w:trPr>
        <w:tc>
          <w:tcPr>
            <w:tcW w:w="9521" w:type="dxa"/>
            <w:shd w:val="clear" w:color="auto" w:fill="C2C9CF" w:themeFill="text1" w:themeFillTint="40"/>
            <w:tcMar>
              <w:left w:w="108" w:type="dxa"/>
            </w:tcMar>
          </w:tcPr>
          <w:p w14:paraId="4073409F" w14:textId="21BD4AFF" w:rsidR="005B1FFD" w:rsidRPr="000B0446" w:rsidRDefault="005B1FFD" w:rsidP="000B0446">
            <w:r w:rsidRPr="00353F81">
              <w:t>Action</w:t>
            </w:r>
          </w:p>
        </w:tc>
        <w:tc>
          <w:tcPr>
            <w:tcW w:w="2977" w:type="dxa"/>
            <w:shd w:val="clear" w:color="auto" w:fill="C2C9CF" w:themeFill="text1" w:themeFillTint="40"/>
            <w:tcMar>
              <w:left w:w="108" w:type="dxa"/>
            </w:tcMar>
          </w:tcPr>
          <w:p w14:paraId="2082E224" w14:textId="61F39ECE" w:rsidR="005B1FFD" w:rsidRPr="000B0446" w:rsidRDefault="001836C0" w:rsidP="000B0446">
            <w:r>
              <w:t>NSW</w:t>
            </w:r>
            <w:r w:rsidR="002E6327">
              <w:t xml:space="preserve"> Agency</w:t>
            </w:r>
            <w:r>
              <w:t xml:space="preserve"> </w:t>
            </w:r>
            <w:r w:rsidR="002E6327">
              <w:t xml:space="preserve">with </w:t>
            </w:r>
            <w:r w:rsidR="00773B5A">
              <w:t xml:space="preserve">Lead </w:t>
            </w:r>
            <w:r w:rsidR="005B1FFD" w:rsidRPr="00353F81">
              <w:t>Responsibility</w:t>
            </w:r>
          </w:p>
        </w:tc>
        <w:tc>
          <w:tcPr>
            <w:tcW w:w="2517" w:type="dxa"/>
            <w:shd w:val="clear" w:color="auto" w:fill="C2C9CF" w:themeFill="text1" w:themeFillTint="40"/>
            <w:tcMar>
              <w:left w:w="108" w:type="dxa"/>
            </w:tcMar>
          </w:tcPr>
          <w:p w14:paraId="582A3267" w14:textId="391E0DCE" w:rsidR="005B1FFD" w:rsidRPr="000B0446" w:rsidRDefault="005B1FFD" w:rsidP="000B0446">
            <w:r w:rsidRPr="00353F81">
              <w:t>Timeframe</w:t>
            </w:r>
          </w:p>
        </w:tc>
      </w:tr>
      <w:tr w:rsidR="00C67C6F" w:rsidRPr="00353F81" w14:paraId="75B60A31" w14:textId="77777777" w:rsidTr="0094190F">
        <w:tc>
          <w:tcPr>
            <w:tcW w:w="9521" w:type="dxa"/>
            <w:shd w:val="clear" w:color="auto" w:fill="CBEDFD" w:themeFill="accent2"/>
            <w:tcMar>
              <w:left w:w="108" w:type="dxa"/>
            </w:tcMar>
          </w:tcPr>
          <w:p w14:paraId="30C858EE" w14:textId="77777777" w:rsidR="00C67C6F" w:rsidRPr="000B0446" w:rsidRDefault="00C67C6F" w:rsidP="000B0446">
            <w:r w:rsidRPr="00353F81">
              <w:t>The need for change</w:t>
            </w:r>
          </w:p>
        </w:tc>
        <w:tc>
          <w:tcPr>
            <w:tcW w:w="2977" w:type="dxa"/>
            <w:shd w:val="clear" w:color="auto" w:fill="CBEDFD" w:themeFill="accent2"/>
          </w:tcPr>
          <w:p w14:paraId="11086407" w14:textId="77777777" w:rsidR="00C67C6F" w:rsidRPr="000B0446" w:rsidRDefault="00C67C6F" w:rsidP="000B0446"/>
        </w:tc>
        <w:tc>
          <w:tcPr>
            <w:tcW w:w="2517" w:type="dxa"/>
            <w:shd w:val="clear" w:color="auto" w:fill="CBEDFD" w:themeFill="accent2"/>
          </w:tcPr>
          <w:p w14:paraId="61EDAA95" w14:textId="4925234F" w:rsidR="00C67C6F" w:rsidRPr="000B0446" w:rsidRDefault="00C67C6F" w:rsidP="000B0446"/>
        </w:tc>
      </w:tr>
      <w:tr w:rsidR="006416F0" w:rsidRPr="00353F81" w14:paraId="534484A7" w14:textId="77777777" w:rsidTr="006247A1">
        <w:tc>
          <w:tcPr>
            <w:tcW w:w="9521" w:type="dxa"/>
            <w:tcMar>
              <w:left w:w="108" w:type="dxa"/>
            </w:tcMar>
          </w:tcPr>
          <w:p w14:paraId="6531DD33" w14:textId="0123E4D1" w:rsidR="006416F0" w:rsidRPr="00353F81" w:rsidRDefault="00773B5A" w:rsidP="000B0446">
            <w:pPr>
              <w:rPr>
                <w:b/>
                <w:bCs/>
              </w:rPr>
            </w:pPr>
            <w:r>
              <w:rPr>
                <w:b/>
                <w:bCs/>
              </w:rPr>
              <w:t xml:space="preserve">1. </w:t>
            </w:r>
            <w:r w:rsidR="006416F0" w:rsidRPr="00353F81">
              <w:rPr>
                <w:b/>
                <w:bCs/>
              </w:rPr>
              <w:t xml:space="preserve">Work with </w:t>
            </w:r>
            <w:r w:rsidR="001836C0">
              <w:rPr>
                <w:b/>
                <w:bCs/>
              </w:rPr>
              <w:t>other governments</w:t>
            </w:r>
            <w:r w:rsidR="006416F0" w:rsidRPr="00353F81">
              <w:rPr>
                <w:b/>
                <w:bCs/>
              </w:rPr>
              <w:t xml:space="preserve"> on a review of Australia’s Disability Strategy </w:t>
            </w:r>
            <w:r w:rsidR="00B51A4F" w:rsidRPr="00353F81">
              <w:rPr>
                <w:b/>
                <w:bCs/>
              </w:rPr>
              <w:t xml:space="preserve">(ADS) </w:t>
            </w:r>
            <w:r w:rsidR="006416F0" w:rsidRPr="00353F81">
              <w:rPr>
                <w:b/>
                <w:bCs/>
              </w:rPr>
              <w:t>and creating new Targeted Action Plans</w:t>
            </w:r>
            <w:r w:rsidR="00F46363" w:rsidRPr="00353F81">
              <w:rPr>
                <w:b/>
                <w:bCs/>
              </w:rPr>
              <w:t xml:space="preserve"> (TAP)</w:t>
            </w:r>
            <w:r w:rsidR="004B3BBE" w:rsidRPr="00353F81">
              <w:rPr>
                <w:b/>
                <w:bCs/>
              </w:rPr>
              <w:t>.</w:t>
            </w:r>
          </w:p>
          <w:p w14:paraId="0E7E5529" w14:textId="1DBCB36F" w:rsidR="00540BFC" w:rsidRPr="00353F81" w:rsidRDefault="00B51A4F" w:rsidP="000B0446">
            <w:r w:rsidRPr="00353F81">
              <w:t>The NSW Government will work with all jurisdiction</w:t>
            </w:r>
            <w:r w:rsidR="00643D23" w:rsidRPr="00735448">
              <w:t>s</w:t>
            </w:r>
            <w:r w:rsidRPr="00353F81">
              <w:t xml:space="preserve"> to undertake a review of the ADS </w:t>
            </w:r>
            <w:r w:rsidR="003F2C02" w:rsidRPr="00353F81">
              <w:t xml:space="preserve">in 2024 </w:t>
            </w:r>
            <w:r w:rsidR="0049372F" w:rsidRPr="00353F81">
              <w:t xml:space="preserve">and develop </w:t>
            </w:r>
            <w:r w:rsidR="00B45C9F" w:rsidRPr="00353F81">
              <w:t>three new targeted actions plans</w:t>
            </w:r>
            <w:r w:rsidR="00D94399" w:rsidRPr="00353F81">
              <w:t xml:space="preserve"> (TAP)</w:t>
            </w:r>
            <w:r w:rsidR="00693410" w:rsidRPr="00353F81">
              <w:t xml:space="preserve"> in the areas of</w:t>
            </w:r>
            <w:r w:rsidR="00540BFC" w:rsidRPr="00353F81">
              <w:t xml:space="preserve">; </w:t>
            </w:r>
            <w:r w:rsidR="00540BFC" w:rsidRPr="000B0446">
              <w:t>Inclusive Homes and Communities; Safety, Rights and Justice; and Community Attitudes.</w:t>
            </w:r>
            <w:r w:rsidR="00CA5C7E" w:rsidRPr="00353F81">
              <w:t xml:space="preserve"> </w:t>
            </w:r>
          </w:p>
          <w:p w14:paraId="213D6346" w14:textId="77777777" w:rsidR="006416F0" w:rsidRDefault="00CA5C7E" w:rsidP="000B0446">
            <w:r w:rsidRPr="00353F81">
              <w:t xml:space="preserve">Each TAP </w:t>
            </w:r>
            <w:r w:rsidR="00D94399" w:rsidRPr="00353F81">
              <w:t xml:space="preserve">will be </w:t>
            </w:r>
            <w:r w:rsidRPr="00353F81">
              <w:t xml:space="preserve">commissioned and endorsed by disability ministers and include a series of targeted and coordinated actions from governments. Actions </w:t>
            </w:r>
            <w:r w:rsidR="000062D5" w:rsidRPr="00353F81">
              <w:t>will</w:t>
            </w:r>
            <w:r w:rsidRPr="00353F81">
              <w:t xml:space="preserve"> be based on available evidence and people with disability </w:t>
            </w:r>
            <w:r w:rsidR="000062D5" w:rsidRPr="00353F81">
              <w:t>will</w:t>
            </w:r>
            <w:r w:rsidRPr="00353F81">
              <w:t xml:space="preserve"> be involved in the design, implementation, and evaluation of the actions. </w:t>
            </w:r>
          </w:p>
          <w:p w14:paraId="57AE4095" w14:textId="74662A44" w:rsidR="008D6468" w:rsidRPr="00353F81" w:rsidRDefault="008D6468" w:rsidP="000B0446">
            <w:r>
              <w:t>NSW will incorporate these actions in the State Disability Inclusion Plan and the Disability Inclusion Action Plans of respective agencies</w:t>
            </w:r>
            <w:r w:rsidR="00E44B20">
              <w:t xml:space="preserve"> when they are updated.</w:t>
            </w:r>
          </w:p>
        </w:tc>
        <w:tc>
          <w:tcPr>
            <w:tcW w:w="2977" w:type="dxa"/>
            <w:tcMar>
              <w:left w:w="108" w:type="dxa"/>
            </w:tcMar>
          </w:tcPr>
          <w:p w14:paraId="52F087F8" w14:textId="02513FA1" w:rsidR="006416F0" w:rsidRPr="000B0446" w:rsidRDefault="00773B5A" w:rsidP="000B0446">
            <w:r w:rsidRPr="00773B5A">
              <w:t>Department of Communities and Justice</w:t>
            </w:r>
          </w:p>
        </w:tc>
        <w:tc>
          <w:tcPr>
            <w:tcW w:w="2517" w:type="dxa"/>
            <w:tcMar>
              <w:left w:w="108" w:type="dxa"/>
            </w:tcMar>
          </w:tcPr>
          <w:p w14:paraId="6C01BC4B" w14:textId="77777777" w:rsidR="006416F0" w:rsidRDefault="00B56CF8" w:rsidP="000B0446">
            <w:r w:rsidRPr="00353F81">
              <w:t>End of 2024</w:t>
            </w:r>
          </w:p>
          <w:p w14:paraId="709D07E3" w14:textId="15E1C7FA" w:rsidR="008D6468" w:rsidRPr="00353F81" w:rsidRDefault="008D6468" w:rsidP="000B0446"/>
        </w:tc>
      </w:tr>
      <w:tr w:rsidR="006416F0" w:rsidRPr="00353F81" w14:paraId="18C21A82" w14:textId="77777777" w:rsidTr="006247A1">
        <w:tc>
          <w:tcPr>
            <w:tcW w:w="9521" w:type="dxa"/>
            <w:tcMar>
              <w:left w:w="108" w:type="dxa"/>
            </w:tcMar>
          </w:tcPr>
          <w:p w14:paraId="3162282B" w14:textId="3FE97CA9" w:rsidR="006416F0" w:rsidRPr="00353F81" w:rsidRDefault="00773B5A" w:rsidP="00353F81">
            <w:pPr>
              <w:rPr>
                <w:b/>
                <w:bCs/>
              </w:rPr>
            </w:pPr>
            <w:r>
              <w:rPr>
                <w:b/>
                <w:bCs/>
              </w:rPr>
              <w:t xml:space="preserve">2. </w:t>
            </w:r>
            <w:r w:rsidR="006416F0" w:rsidRPr="00353F81">
              <w:rPr>
                <w:b/>
                <w:bCs/>
              </w:rPr>
              <w:t xml:space="preserve">Deliver the next Disability Inclusion Plan </w:t>
            </w:r>
            <w:r w:rsidR="001907A2" w:rsidRPr="00353F81">
              <w:rPr>
                <w:b/>
                <w:bCs/>
              </w:rPr>
              <w:t xml:space="preserve">(DIP) </w:t>
            </w:r>
            <w:r w:rsidR="006416F0" w:rsidRPr="00353F81">
              <w:rPr>
                <w:b/>
                <w:bCs/>
              </w:rPr>
              <w:t>for NSW.</w:t>
            </w:r>
            <w:r w:rsidR="001907A2" w:rsidRPr="00353F81">
              <w:rPr>
                <w:b/>
                <w:bCs/>
              </w:rPr>
              <w:t xml:space="preserve"> </w:t>
            </w:r>
          </w:p>
          <w:p w14:paraId="7FB8A285" w14:textId="21057E0B" w:rsidR="006416F0" w:rsidRPr="00353F81" w:rsidRDefault="00C53353" w:rsidP="000B0446">
            <w:r w:rsidRPr="00353F81">
              <w:t>The Department of Communities and Justice is leading work to develop the nex</w:t>
            </w:r>
            <w:r w:rsidR="00B90AB4" w:rsidRPr="00353F81">
              <w:t>t</w:t>
            </w:r>
            <w:r w:rsidRPr="00353F81">
              <w:t xml:space="preserve"> </w:t>
            </w:r>
            <w:r w:rsidR="00751F6A" w:rsidRPr="00353F81">
              <w:t xml:space="preserve">NSW </w:t>
            </w:r>
            <w:r w:rsidR="00643D23" w:rsidRPr="00353F81">
              <w:t xml:space="preserve">Disability Inclusion Plan </w:t>
            </w:r>
            <w:r w:rsidR="00751F6A" w:rsidRPr="00353F81">
              <w:t xml:space="preserve">in </w:t>
            </w:r>
            <w:r w:rsidR="00FD26C0" w:rsidRPr="00353F81">
              <w:t xml:space="preserve">collaboration with all government agencies, people with disability and local councils. </w:t>
            </w:r>
            <w:r w:rsidR="00E44B20" w:rsidRPr="00353F81">
              <w:t>The next Disability Inclusion Plan will be released before the end of 2024.</w:t>
            </w:r>
          </w:p>
        </w:tc>
        <w:tc>
          <w:tcPr>
            <w:tcW w:w="2977" w:type="dxa"/>
            <w:tcMar>
              <w:left w:w="108" w:type="dxa"/>
            </w:tcMar>
          </w:tcPr>
          <w:p w14:paraId="693FCC7D" w14:textId="0B8EAC8A" w:rsidR="006416F0" w:rsidRPr="000B0446" w:rsidRDefault="006416F0" w:rsidP="000B0446">
            <w:r w:rsidRPr="00353F81">
              <w:t xml:space="preserve">Department of Communities and Justice </w:t>
            </w:r>
          </w:p>
        </w:tc>
        <w:tc>
          <w:tcPr>
            <w:tcW w:w="2517" w:type="dxa"/>
            <w:tcMar>
              <w:left w:w="108" w:type="dxa"/>
            </w:tcMar>
          </w:tcPr>
          <w:p w14:paraId="4F94C122" w14:textId="6AD88B17" w:rsidR="006416F0" w:rsidRPr="000B0446" w:rsidRDefault="006416F0" w:rsidP="000B0446">
            <w:r w:rsidRPr="00353F81">
              <w:t>December 2024</w:t>
            </w:r>
          </w:p>
        </w:tc>
      </w:tr>
      <w:tr w:rsidR="006416F0" w:rsidRPr="00353F81" w14:paraId="4500C7DE" w14:textId="77777777" w:rsidTr="006247A1">
        <w:tc>
          <w:tcPr>
            <w:tcW w:w="9521" w:type="dxa"/>
            <w:tcMar>
              <w:left w:w="108" w:type="dxa"/>
            </w:tcMar>
          </w:tcPr>
          <w:p w14:paraId="7882227A" w14:textId="0460B983" w:rsidR="001907A2" w:rsidRPr="00353F81" w:rsidRDefault="00773B5A" w:rsidP="00353F81">
            <w:r>
              <w:rPr>
                <w:b/>
                <w:bCs/>
              </w:rPr>
              <w:lastRenderedPageBreak/>
              <w:t xml:space="preserve">3. </w:t>
            </w:r>
            <w:r w:rsidR="006416F0" w:rsidRPr="00353F81">
              <w:rPr>
                <w:b/>
                <w:bCs/>
              </w:rPr>
              <w:t xml:space="preserve">Develop a new approach to Disability Inclusion Action Planning </w:t>
            </w:r>
            <w:r w:rsidR="001907A2" w:rsidRPr="00353F81">
              <w:rPr>
                <w:b/>
                <w:bCs/>
              </w:rPr>
              <w:t xml:space="preserve">(DIAP) </w:t>
            </w:r>
            <w:r w:rsidR="006416F0" w:rsidRPr="00353F81">
              <w:rPr>
                <w:b/>
                <w:bCs/>
              </w:rPr>
              <w:t>for NSW</w:t>
            </w:r>
            <w:r w:rsidR="001907A2" w:rsidRPr="00353F81">
              <w:rPr>
                <w:b/>
                <w:bCs/>
              </w:rPr>
              <w:t>.</w:t>
            </w:r>
          </w:p>
          <w:p w14:paraId="42D101FF" w14:textId="29B0168C" w:rsidR="003C3756" w:rsidRPr="008D4055" w:rsidRDefault="003C3756" w:rsidP="00214FBD">
            <w:pPr>
              <w:pStyle w:val="BodyText"/>
            </w:pPr>
            <w:r>
              <w:t>Ensure</w:t>
            </w:r>
            <w:r w:rsidRPr="008D4055">
              <w:t xml:space="preserve"> Disability Inclusion Action Planning (DIAP) for NSW</w:t>
            </w:r>
            <w:r>
              <w:t xml:space="preserve"> public authorities (government departments, local councils and entities specified in the Disability Regulation)</w:t>
            </w:r>
            <w:r w:rsidR="0053450B">
              <w:t xml:space="preserve"> </w:t>
            </w:r>
            <w:r>
              <w:t>u</w:t>
            </w:r>
            <w:r w:rsidRPr="008D4055">
              <w:t xml:space="preserve">nder the </w:t>
            </w:r>
            <w:r w:rsidRPr="008D4055">
              <w:rPr>
                <w:i/>
                <w:iCs/>
              </w:rPr>
              <w:t>NSW Disability Inclusion Act 2014</w:t>
            </w:r>
            <w:r>
              <w:t xml:space="preserve"> are informed by the refreshed DIP and ADS.</w:t>
            </w:r>
          </w:p>
          <w:p w14:paraId="3D9F640A" w14:textId="3F49C434" w:rsidR="003C3756" w:rsidRPr="00353F81" w:rsidRDefault="001E1DB6" w:rsidP="003C3756">
            <w:r w:rsidRPr="00353F81">
              <w:t xml:space="preserve">Working with people with disability, </w:t>
            </w:r>
            <w:r w:rsidR="003C3756">
              <w:t>disability peaks,</w:t>
            </w:r>
            <w:r w:rsidR="0090563A" w:rsidRPr="00353F81">
              <w:t xml:space="preserve"> </w:t>
            </w:r>
            <w:r w:rsidR="003D13C1" w:rsidRPr="00353F81">
              <w:t>public authorities</w:t>
            </w:r>
            <w:r w:rsidR="0090563A" w:rsidRPr="00353F81">
              <w:t xml:space="preserve"> and </w:t>
            </w:r>
            <w:r w:rsidR="009B61A6" w:rsidRPr="00353F81">
              <w:t>the NSW Disability Council</w:t>
            </w:r>
            <w:r w:rsidR="0053450B">
              <w:t>,</w:t>
            </w:r>
            <w:r w:rsidR="003D13C1" w:rsidRPr="00353F81">
              <w:t xml:space="preserve"> </w:t>
            </w:r>
            <w:r w:rsidR="0053450B">
              <w:t>t</w:t>
            </w:r>
            <w:r w:rsidR="0053450B" w:rsidRPr="0053450B">
              <w:t xml:space="preserve">he Department of Communities and Justice </w:t>
            </w:r>
            <w:r w:rsidR="00322388">
              <w:t xml:space="preserve">will develop </w:t>
            </w:r>
            <w:r w:rsidR="000B7903">
              <w:t xml:space="preserve">a </w:t>
            </w:r>
            <w:r w:rsidR="00322388">
              <w:t xml:space="preserve">new DIAP </w:t>
            </w:r>
            <w:r w:rsidR="00502385" w:rsidRPr="00353F81">
              <w:t xml:space="preserve">reporting framework </w:t>
            </w:r>
            <w:r w:rsidR="004918EC" w:rsidRPr="00353F81">
              <w:t xml:space="preserve">to increase oversight and accountability of </w:t>
            </w:r>
            <w:r w:rsidR="004C014E" w:rsidRPr="00353F81">
              <w:t xml:space="preserve">plans. </w:t>
            </w:r>
            <w:r w:rsidR="003D13C1" w:rsidRPr="00353F81">
              <w:t xml:space="preserve"> </w:t>
            </w:r>
          </w:p>
        </w:tc>
        <w:tc>
          <w:tcPr>
            <w:tcW w:w="2977" w:type="dxa"/>
            <w:tcMar>
              <w:left w:w="108" w:type="dxa"/>
            </w:tcMar>
          </w:tcPr>
          <w:p w14:paraId="26CDBB30" w14:textId="3BB78C50" w:rsidR="006416F0" w:rsidRPr="000B0446" w:rsidRDefault="002378BC" w:rsidP="000B0446">
            <w:r w:rsidRPr="00353F81">
              <w:t xml:space="preserve">Department of Communities and Justice </w:t>
            </w:r>
          </w:p>
        </w:tc>
        <w:tc>
          <w:tcPr>
            <w:tcW w:w="2517" w:type="dxa"/>
            <w:tcMar>
              <w:left w:w="108" w:type="dxa"/>
            </w:tcMar>
          </w:tcPr>
          <w:p w14:paraId="3D92D4F6" w14:textId="03482151" w:rsidR="006416F0" w:rsidRPr="000B0446" w:rsidRDefault="002E6327" w:rsidP="000B0446">
            <w:r>
              <w:t xml:space="preserve">2024 - </w:t>
            </w:r>
            <w:r w:rsidR="006416F0" w:rsidRPr="00353F81">
              <w:t>2025</w:t>
            </w:r>
          </w:p>
        </w:tc>
      </w:tr>
      <w:tr w:rsidR="009E4702" w:rsidRPr="00353F81" w14:paraId="4157F1ED" w14:textId="77777777" w:rsidTr="006247A1">
        <w:tc>
          <w:tcPr>
            <w:tcW w:w="9521" w:type="dxa"/>
            <w:tcMar>
              <w:left w:w="108" w:type="dxa"/>
            </w:tcMar>
          </w:tcPr>
          <w:p w14:paraId="6B2C8A4A" w14:textId="532CACAD" w:rsidR="009E4702" w:rsidRPr="00353F81" w:rsidRDefault="00C55362" w:rsidP="00353F81">
            <w:r>
              <w:rPr>
                <w:b/>
                <w:bCs/>
              </w:rPr>
              <w:t xml:space="preserve">4. </w:t>
            </w:r>
            <w:r w:rsidR="009E4702" w:rsidRPr="00353F81">
              <w:rPr>
                <w:b/>
                <w:bCs/>
              </w:rPr>
              <w:t>Hold a series of stakeholder forums with a particular focus on progressing the recommendations that require further consideration</w:t>
            </w:r>
          </w:p>
          <w:p w14:paraId="0C71E3DC" w14:textId="0A98A31C" w:rsidR="009E4702" w:rsidRPr="00353F81" w:rsidRDefault="00E44B20" w:rsidP="000B0446">
            <w:r>
              <w:t>Targeted s</w:t>
            </w:r>
            <w:r w:rsidR="009E4702" w:rsidRPr="00353F81">
              <w:t xml:space="preserve">takeholder forums will follow on from the consultation to date outlined in Appendix D. The next stakeholder forum will be held in September 2024 to coincide with the </w:t>
            </w:r>
            <w:r w:rsidR="0053450B" w:rsidRPr="00353F81">
              <w:t>one-year</w:t>
            </w:r>
            <w:r w:rsidR="009E4702" w:rsidRPr="00353F81">
              <w:t xml:space="preserve"> anniversary of the release of the final report of the DRC.</w:t>
            </w:r>
          </w:p>
        </w:tc>
        <w:tc>
          <w:tcPr>
            <w:tcW w:w="2977" w:type="dxa"/>
            <w:tcMar>
              <w:left w:w="108" w:type="dxa"/>
            </w:tcMar>
          </w:tcPr>
          <w:p w14:paraId="083F1C42" w14:textId="7B7DDB95" w:rsidR="009E4702" w:rsidRPr="00353F81" w:rsidRDefault="002378BC" w:rsidP="000B0446">
            <w:r w:rsidRPr="00353F81">
              <w:t xml:space="preserve">Department of Communities and Justice </w:t>
            </w:r>
          </w:p>
        </w:tc>
        <w:tc>
          <w:tcPr>
            <w:tcW w:w="2517" w:type="dxa"/>
            <w:tcMar>
              <w:left w:w="108" w:type="dxa"/>
            </w:tcMar>
          </w:tcPr>
          <w:p w14:paraId="782BBF54" w14:textId="0132E297" w:rsidR="009E4702" w:rsidRPr="00353F81" w:rsidRDefault="009E4702" w:rsidP="000B0446">
            <w:r w:rsidRPr="00353F81">
              <w:t>2024</w:t>
            </w:r>
            <w:r w:rsidR="002E6327">
              <w:t xml:space="preserve"> - </w:t>
            </w:r>
            <w:r w:rsidR="00E44B20">
              <w:t>2025</w:t>
            </w:r>
          </w:p>
        </w:tc>
      </w:tr>
      <w:tr w:rsidR="006416F0" w:rsidRPr="00353F81" w14:paraId="1201749F" w14:textId="77777777" w:rsidTr="006247A1">
        <w:tc>
          <w:tcPr>
            <w:tcW w:w="9521" w:type="dxa"/>
            <w:tcMar>
              <w:left w:w="108" w:type="dxa"/>
            </w:tcMar>
          </w:tcPr>
          <w:p w14:paraId="0EC0BD63" w14:textId="5413BD77" w:rsidR="006416F0" w:rsidRPr="00353F81" w:rsidRDefault="00C55362" w:rsidP="000B0446">
            <w:pPr>
              <w:rPr>
                <w:b/>
                <w:bCs/>
              </w:rPr>
            </w:pPr>
            <w:r>
              <w:rPr>
                <w:b/>
                <w:bCs/>
              </w:rPr>
              <w:t xml:space="preserve">5. </w:t>
            </w:r>
            <w:r w:rsidR="006416F0" w:rsidRPr="00353F81">
              <w:rPr>
                <w:b/>
                <w:bCs/>
              </w:rPr>
              <w:t>Report every six months on progress against DRC recommendations</w:t>
            </w:r>
          </w:p>
          <w:p w14:paraId="13042320" w14:textId="2DC5E164" w:rsidR="006416F0" w:rsidRPr="00353F81" w:rsidRDefault="0028257F" w:rsidP="000B0446">
            <w:r w:rsidRPr="00353F81">
              <w:t xml:space="preserve">All Australian Governments have committed to publicly reporting on progress to implement the agreed positions on </w:t>
            </w:r>
            <w:r w:rsidR="00D00AF8" w:rsidRPr="00353F81">
              <w:t xml:space="preserve">joint recommendations through the Disability Reform Ministerial Council. </w:t>
            </w:r>
          </w:p>
        </w:tc>
        <w:tc>
          <w:tcPr>
            <w:tcW w:w="2977" w:type="dxa"/>
            <w:tcMar>
              <w:left w:w="108" w:type="dxa"/>
            </w:tcMar>
          </w:tcPr>
          <w:p w14:paraId="20C43AAC" w14:textId="26FBBEA8" w:rsidR="006416F0" w:rsidRPr="000B0446" w:rsidRDefault="00773B5A" w:rsidP="000B0446">
            <w:r w:rsidRPr="00773B5A">
              <w:t>Department of Communities and Justice</w:t>
            </w:r>
          </w:p>
        </w:tc>
        <w:tc>
          <w:tcPr>
            <w:tcW w:w="2517" w:type="dxa"/>
            <w:tcMar>
              <w:left w:w="108" w:type="dxa"/>
            </w:tcMar>
          </w:tcPr>
          <w:p w14:paraId="230BAD3B" w14:textId="2D9489FE" w:rsidR="006416F0" w:rsidRPr="00353F81" w:rsidRDefault="00292238" w:rsidP="000B0446">
            <w:r>
              <w:t>May 2025</w:t>
            </w:r>
            <w:r w:rsidR="002E6327">
              <w:t xml:space="preserve"> and every six months thereafter </w:t>
            </w:r>
          </w:p>
        </w:tc>
      </w:tr>
      <w:tr w:rsidR="00C67C6F" w:rsidRPr="00353F81" w14:paraId="5EDAC9D7" w14:textId="77777777" w:rsidTr="0094190F">
        <w:tc>
          <w:tcPr>
            <w:tcW w:w="9521" w:type="dxa"/>
            <w:shd w:val="clear" w:color="auto" w:fill="CBEDFD" w:themeFill="accent2"/>
            <w:tcMar>
              <w:left w:w="108" w:type="dxa"/>
            </w:tcMar>
          </w:tcPr>
          <w:p w14:paraId="3D9FABBA" w14:textId="77777777" w:rsidR="00C67C6F" w:rsidRPr="000B0446" w:rsidRDefault="00C67C6F" w:rsidP="000B0446">
            <w:r w:rsidRPr="00353F81">
              <w:t xml:space="preserve">Recognising the rights and autonomy of people with disability </w:t>
            </w:r>
          </w:p>
        </w:tc>
        <w:tc>
          <w:tcPr>
            <w:tcW w:w="2977" w:type="dxa"/>
            <w:shd w:val="clear" w:color="auto" w:fill="CBEDFD" w:themeFill="accent2"/>
          </w:tcPr>
          <w:p w14:paraId="318BC8D3" w14:textId="77777777" w:rsidR="00C67C6F" w:rsidRPr="000B0446" w:rsidRDefault="00C67C6F" w:rsidP="000B0446"/>
        </w:tc>
        <w:tc>
          <w:tcPr>
            <w:tcW w:w="2517" w:type="dxa"/>
            <w:shd w:val="clear" w:color="auto" w:fill="CBEDFD" w:themeFill="accent2"/>
          </w:tcPr>
          <w:p w14:paraId="09BE2695" w14:textId="4DFEA8D4" w:rsidR="00C67C6F" w:rsidRPr="000B0446" w:rsidRDefault="00C67C6F" w:rsidP="000B0446"/>
        </w:tc>
      </w:tr>
      <w:tr w:rsidR="006416F0" w:rsidRPr="00353F81" w14:paraId="64EAC74D" w14:textId="77777777" w:rsidTr="006247A1">
        <w:tc>
          <w:tcPr>
            <w:tcW w:w="9521" w:type="dxa"/>
            <w:tcMar>
              <w:left w:w="108" w:type="dxa"/>
            </w:tcMar>
          </w:tcPr>
          <w:p w14:paraId="4AF778AB" w14:textId="12D90ADC" w:rsidR="006416F0" w:rsidRPr="00353F81" w:rsidRDefault="00C55362" w:rsidP="00353F81">
            <w:pPr>
              <w:rPr>
                <w:b/>
                <w:bCs/>
              </w:rPr>
            </w:pPr>
            <w:r>
              <w:rPr>
                <w:b/>
                <w:bCs/>
              </w:rPr>
              <w:t xml:space="preserve">6. </w:t>
            </w:r>
            <w:r w:rsidR="006416F0" w:rsidRPr="00353F81">
              <w:rPr>
                <w:b/>
                <w:bCs/>
              </w:rPr>
              <w:t xml:space="preserve">Consider </w:t>
            </w:r>
            <w:r w:rsidR="00A51D61" w:rsidRPr="00353F81">
              <w:rPr>
                <w:b/>
                <w:bCs/>
              </w:rPr>
              <w:t>the</w:t>
            </w:r>
            <w:r w:rsidR="006416F0" w:rsidRPr="00353F81">
              <w:rPr>
                <w:b/>
                <w:bCs/>
              </w:rPr>
              <w:t xml:space="preserve"> recommendations </w:t>
            </w:r>
            <w:r w:rsidR="00F722E0" w:rsidRPr="00353F81">
              <w:rPr>
                <w:b/>
                <w:bCs/>
              </w:rPr>
              <w:t xml:space="preserve">arising </w:t>
            </w:r>
            <w:r w:rsidR="006416F0" w:rsidRPr="00353F81">
              <w:rPr>
                <w:b/>
                <w:bCs/>
              </w:rPr>
              <w:t xml:space="preserve">from the NSW Law Reform Commission review of the </w:t>
            </w:r>
            <w:r w:rsidR="006416F0" w:rsidRPr="006247A1">
              <w:rPr>
                <w:b/>
                <w:bCs/>
                <w:i/>
                <w:iCs/>
              </w:rPr>
              <w:t>Anti-Discrimination Act 1977</w:t>
            </w:r>
          </w:p>
          <w:p w14:paraId="33F58E4B" w14:textId="07840F76" w:rsidR="00E44B20" w:rsidRPr="000B0446" w:rsidRDefault="00CA2E01" w:rsidP="000B0446">
            <w:r w:rsidRPr="00353F81">
              <w:t xml:space="preserve">The NSW Law Reform Commission is currently looking at whether the </w:t>
            </w:r>
            <w:r w:rsidRPr="006247A1">
              <w:rPr>
                <w:i/>
                <w:iCs/>
              </w:rPr>
              <w:t xml:space="preserve">Anti-Discrimination Act 1977 </w:t>
            </w:r>
            <w:r w:rsidRPr="004E0BD4">
              <w:t>(NSW)</w:t>
            </w:r>
            <w:r w:rsidRPr="00353F81">
              <w:t xml:space="preserve"> could be modernised and simplified to better promote the equal enjoyment of rights and reflect contemporary community standards. This review includes an examination of </w:t>
            </w:r>
            <w:r w:rsidRPr="000B0446">
              <w:t xml:space="preserve">the adequacy of protections against </w:t>
            </w:r>
            <w:r w:rsidRPr="00353F81">
              <w:t>vilification, whether the Act should include positive obligations such as making reasonable adjustments, and the adequacy and accessibility of complaints procedures and remedies.</w:t>
            </w:r>
          </w:p>
        </w:tc>
        <w:tc>
          <w:tcPr>
            <w:tcW w:w="2977" w:type="dxa"/>
            <w:tcMar>
              <w:left w:w="108" w:type="dxa"/>
            </w:tcMar>
          </w:tcPr>
          <w:p w14:paraId="6E60B540" w14:textId="3E3B07F6" w:rsidR="00333F3C" w:rsidRPr="00353F81" w:rsidRDefault="006416F0" w:rsidP="000B0446">
            <w:r w:rsidRPr="00353F81">
              <w:t>D</w:t>
            </w:r>
            <w:r w:rsidR="0024162F" w:rsidRPr="00353F81">
              <w:t>epartment of Communities and Justice</w:t>
            </w:r>
            <w:r w:rsidR="00945EC9">
              <w:t xml:space="preserve"> </w:t>
            </w:r>
          </w:p>
        </w:tc>
        <w:tc>
          <w:tcPr>
            <w:tcW w:w="2517" w:type="dxa"/>
            <w:tcMar>
              <w:left w:w="108" w:type="dxa"/>
            </w:tcMar>
          </w:tcPr>
          <w:p w14:paraId="0F164892" w14:textId="45A024A2" w:rsidR="00333F3C" w:rsidRPr="000B0446" w:rsidRDefault="00E6478A" w:rsidP="000B0446">
            <w:r w:rsidRPr="00353F81">
              <w:t xml:space="preserve">Following the tabling of the final report of the review in Parliament  </w:t>
            </w:r>
          </w:p>
        </w:tc>
      </w:tr>
      <w:tr w:rsidR="006416F0" w:rsidRPr="00353F81" w14:paraId="302FA52A" w14:textId="77777777" w:rsidTr="006247A1">
        <w:tc>
          <w:tcPr>
            <w:tcW w:w="9521" w:type="dxa"/>
            <w:tcMar>
              <w:left w:w="108" w:type="dxa"/>
            </w:tcMar>
          </w:tcPr>
          <w:p w14:paraId="31333C38" w14:textId="1CF8E0E9" w:rsidR="006416F0" w:rsidRPr="00353F81" w:rsidRDefault="009675CC" w:rsidP="000B0446">
            <w:pPr>
              <w:rPr>
                <w:b/>
                <w:bCs/>
              </w:rPr>
            </w:pPr>
            <w:r>
              <w:rPr>
                <w:b/>
                <w:bCs/>
              </w:rPr>
              <w:lastRenderedPageBreak/>
              <w:t>7. I</w:t>
            </w:r>
            <w:r w:rsidR="006416F0" w:rsidRPr="00353F81">
              <w:rPr>
                <w:b/>
                <w:bCs/>
              </w:rPr>
              <w:t>nvestigate a legislative framework for restrictive practices authorisation</w:t>
            </w:r>
          </w:p>
          <w:p w14:paraId="62CA7799" w14:textId="2A889143" w:rsidR="006416F0" w:rsidRPr="000B0446" w:rsidRDefault="006416F0" w:rsidP="000B0446">
            <w:r w:rsidRPr="00353F81">
              <w:t xml:space="preserve">The NSW Government is carefully considering the best method and legislative framework for the authorisation of restrictive practices in disability settings. People with disability and other stakeholders will be consulted should the NSW Government decide to pursue a legislative framework. </w:t>
            </w:r>
          </w:p>
        </w:tc>
        <w:tc>
          <w:tcPr>
            <w:tcW w:w="2977" w:type="dxa"/>
            <w:tcMar>
              <w:left w:w="108" w:type="dxa"/>
            </w:tcMar>
          </w:tcPr>
          <w:p w14:paraId="0C5B0DBD" w14:textId="5CA91EBB" w:rsidR="006416F0" w:rsidRPr="000B0446" w:rsidRDefault="002378BC" w:rsidP="000B0446">
            <w:r w:rsidRPr="00353F81">
              <w:t>Department of Communities and Justice</w:t>
            </w:r>
            <w:r w:rsidR="00945EC9">
              <w:t xml:space="preserve"> </w:t>
            </w:r>
          </w:p>
        </w:tc>
        <w:tc>
          <w:tcPr>
            <w:tcW w:w="2517" w:type="dxa"/>
            <w:tcMar>
              <w:left w:w="108" w:type="dxa"/>
            </w:tcMar>
          </w:tcPr>
          <w:p w14:paraId="1C2AC761" w14:textId="543DC1BC" w:rsidR="00764718" w:rsidRPr="000B7903" w:rsidRDefault="00E6478A" w:rsidP="000B0446">
            <w:r w:rsidRPr="000B7903">
              <w:t xml:space="preserve">2024 </w:t>
            </w:r>
          </w:p>
        </w:tc>
      </w:tr>
      <w:tr w:rsidR="006416F0" w:rsidRPr="00353F81" w14:paraId="5E483F32" w14:textId="77777777" w:rsidTr="006247A1">
        <w:tc>
          <w:tcPr>
            <w:tcW w:w="9521" w:type="dxa"/>
            <w:tcMar>
              <w:left w:w="108" w:type="dxa"/>
            </w:tcMar>
          </w:tcPr>
          <w:p w14:paraId="3313B84C" w14:textId="143A6201" w:rsidR="006416F0" w:rsidRPr="00353F81" w:rsidRDefault="009675CC" w:rsidP="000B0446">
            <w:pPr>
              <w:rPr>
                <w:b/>
                <w:bCs/>
              </w:rPr>
            </w:pPr>
            <w:r>
              <w:rPr>
                <w:b/>
                <w:bCs/>
              </w:rPr>
              <w:t xml:space="preserve">8. </w:t>
            </w:r>
            <w:r w:rsidR="006416F0" w:rsidRPr="00353F81">
              <w:rPr>
                <w:b/>
                <w:bCs/>
              </w:rPr>
              <w:t xml:space="preserve">Consider the advice of the NSW Guardianship Working Group </w:t>
            </w:r>
            <w:r w:rsidR="00F722E0" w:rsidRPr="00353F81">
              <w:rPr>
                <w:b/>
                <w:bCs/>
              </w:rPr>
              <w:t xml:space="preserve">about the </w:t>
            </w:r>
            <w:r w:rsidR="006416F0" w:rsidRPr="00353F81">
              <w:rPr>
                <w:b/>
                <w:bCs/>
              </w:rPr>
              <w:t xml:space="preserve">recommendations </w:t>
            </w:r>
            <w:r w:rsidR="00F722E0" w:rsidRPr="00353F81">
              <w:rPr>
                <w:b/>
                <w:bCs/>
              </w:rPr>
              <w:t xml:space="preserve">on </w:t>
            </w:r>
            <w:r w:rsidR="006416F0" w:rsidRPr="00353F81">
              <w:rPr>
                <w:b/>
                <w:bCs/>
              </w:rPr>
              <w:t>reform</w:t>
            </w:r>
            <w:r w:rsidR="00F722E0" w:rsidRPr="00353F81">
              <w:rPr>
                <w:b/>
                <w:bCs/>
              </w:rPr>
              <w:t>ing</w:t>
            </w:r>
            <w:r w:rsidR="006416F0" w:rsidRPr="00353F81">
              <w:rPr>
                <w:b/>
                <w:bCs/>
              </w:rPr>
              <w:t xml:space="preserve"> guardianship and administration laws to embed supported decision-making</w:t>
            </w:r>
          </w:p>
          <w:p w14:paraId="3E075C1E" w14:textId="543A82BD" w:rsidR="006416F0" w:rsidRPr="000B0446" w:rsidRDefault="006B2870" w:rsidP="000B0446">
            <w:r w:rsidRPr="00353F81">
              <w:t xml:space="preserve">A Guardianship Working Group, made up of both government and non-government stakeholders has been engaged to </w:t>
            </w:r>
            <w:r w:rsidR="005B319E" w:rsidRPr="00353F81">
              <w:t>advise the NSW Government on guardianship reform</w:t>
            </w:r>
            <w:r w:rsidRPr="00353F81">
              <w:t>. The Government is also undertaking a detailed assessment of the operational and resourcing impacts of reforms</w:t>
            </w:r>
            <w:r w:rsidR="005B319E" w:rsidRPr="00353F81">
              <w:t>.</w:t>
            </w:r>
          </w:p>
        </w:tc>
        <w:tc>
          <w:tcPr>
            <w:tcW w:w="2977" w:type="dxa"/>
            <w:tcMar>
              <w:left w:w="108" w:type="dxa"/>
            </w:tcMar>
          </w:tcPr>
          <w:p w14:paraId="3B65B3A8" w14:textId="5F0CC71F" w:rsidR="006416F0" w:rsidRPr="000B0446" w:rsidRDefault="002378BC" w:rsidP="000B0446">
            <w:r w:rsidRPr="00353F81">
              <w:t>Department of Communities and Justice</w:t>
            </w:r>
            <w:r w:rsidR="00945EC9">
              <w:t xml:space="preserve"> </w:t>
            </w:r>
          </w:p>
        </w:tc>
        <w:tc>
          <w:tcPr>
            <w:tcW w:w="2517" w:type="dxa"/>
            <w:tcMar>
              <w:left w:w="108" w:type="dxa"/>
            </w:tcMar>
          </w:tcPr>
          <w:p w14:paraId="47A9F5D1" w14:textId="1AD6041D" w:rsidR="00764718" w:rsidRPr="000B7903" w:rsidRDefault="002476F1" w:rsidP="000B0446">
            <w:r w:rsidRPr="000B7903">
              <w:t xml:space="preserve">2024 </w:t>
            </w:r>
          </w:p>
        </w:tc>
      </w:tr>
      <w:tr w:rsidR="001D07B2" w:rsidRPr="00353F81" w14:paraId="0548B89B" w14:textId="77777777" w:rsidTr="0094190F">
        <w:tc>
          <w:tcPr>
            <w:tcW w:w="9521" w:type="dxa"/>
            <w:shd w:val="clear" w:color="auto" w:fill="CBEDFD" w:themeFill="accent2"/>
            <w:tcMar>
              <w:left w:w="108" w:type="dxa"/>
            </w:tcMar>
          </w:tcPr>
          <w:p w14:paraId="4634988D" w14:textId="77777777" w:rsidR="001D07B2" w:rsidRPr="000B0446" w:rsidRDefault="001D07B2" w:rsidP="000B0446">
            <w:r w:rsidRPr="00353F81">
              <w:t>Better outcomes for First Nations people with disability</w:t>
            </w:r>
          </w:p>
        </w:tc>
        <w:tc>
          <w:tcPr>
            <w:tcW w:w="2977" w:type="dxa"/>
            <w:shd w:val="clear" w:color="auto" w:fill="CBEDFD" w:themeFill="accent2"/>
          </w:tcPr>
          <w:p w14:paraId="6ACD3010" w14:textId="77777777" w:rsidR="001D07B2" w:rsidRPr="000B0446" w:rsidRDefault="001D07B2" w:rsidP="000B0446"/>
        </w:tc>
        <w:tc>
          <w:tcPr>
            <w:tcW w:w="2517" w:type="dxa"/>
            <w:shd w:val="clear" w:color="auto" w:fill="CBEDFD" w:themeFill="accent2"/>
          </w:tcPr>
          <w:p w14:paraId="10C8E011" w14:textId="36F09298" w:rsidR="001D07B2" w:rsidRPr="000B0446" w:rsidRDefault="001D07B2" w:rsidP="000B0446"/>
        </w:tc>
      </w:tr>
      <w:tr w:rsidR="006416F0" w:rsidRPr="00353F81" w14:paraId="6B5A0EB3" w14:textId="77777777" w:rsidTr="006247A1">
        <w:tc>
          <w:tcPr>
            <w:tcW w:w="9521" w:type="dxa"/>
            <w:tcMar>
              <w:left w:w="108" w:type="dxa"/>
            </w:tcMar>
          </w:tcPr>
          <w:p w14:paraId="3F40ED0D" w14:textId="3435EFB9" w:rsidR="006416F0" w:rsidRPr="00353F81" w:rsidRDefault="009675CC" w:rsidP="000B0446">
            <w:pPr>
              <w:rPr>
                <w:b/>
                <w:bCs/>
              </w:rPr>
            </w:pPr>
            <w:r>
              <w:rPr>
                <w:b/>
                <w:bCs/>
              </w:rPr>
              <w:t xml:space="preserve">9. </w:t>
            </w:r>
            <w:r w:rsidR="00337098" w:rsidRPr="00353F81">
              <w:rPr>
                <w:b/>
                <w:bCs/>
              </w:rPr>
              <w:t>W</w:t>
            </w:r>
            <w:r w:rsidR="006416F0" w:rsidRPr="00353F81">
              <w:rPr>
                <w:b/>
                <w:bCs/>
              </w:rPr>
              <w:t xml:space="preserve">ith other governments and First Nations people with disability, establish a First Nations Disability Forum </w:t>
            </w:r>
            <w:r w:rsidR="00A24DED" w:rsidRPr="00353F81">
              <w:rPr>
                <w:b/>
                <w:bCs/>
              </w:rPr>
              <w:t>that builds on</w:t>
            </w:r>
            <w:r w:rsidR="006416F0" w:rsidRPr="00353F81">
              <w:rPr>
                <w:b/>
                <w:bCs/>
              </w:rPr>
              <w:t xml:space="preserve"> Closing the Gap partnership</w:t>
            </w:r>
            <w:r w:rsidR="00A24DED" w:rsidRPr="00353F81">
              <w:rPr>
                <w:b/>
                <w:bCs/>
              </w:rPr>
              <w:t>s</w:t>
            </w:r>
            <w:r w:rsidR="006416F0" w:rsidRPr="00353F81">
              <w:rPr>
                <w:b/>
                <w:bCs/>
              </w:rPr>
              <w:t xml:space="preserve"> </w:t>
            </w:r>
            <w:r w:rsidR="00A24DED" w:rsidRPr="00353F81">
              <w:rPr>
                <w:b/>
                <w:bCs/>
              </w:rPr>
              <w:t>and mechanisms</w:t>
            </w:r>
          </w:p>
          <w:p w14:paraId="3872FCFD" w14:textId="2F6F4075" w:rsidR="00EF3449" w:rsidRPr="000B0446" w:rsidRDefault="00CB3959" w:rsidP="000B0446">
            <w:r w:rsidRPr="00353F81">
              <w:t>All governments will work in partnership with First Nations people with disability, their families, carers and representatives, the Joint Council on Closing the Gap, peak bodies, and other key stakeholders through 2024 to develop options for the establishment of a First Nations Disability Forum or other appropriate shared decision-making mechanism for the cross-cutting outcome of disability under Closing the Gap.</w:t>
            </w:r>
          </w:p>
        </w:tc>
        <w:tc>
          <w:tcPr>
            <w:tcW w:w="2977" w:type="dxa"/>
            <w:tcMar>
              <w:left w:w="108" w:type="dxa"/>
            </w:tcMar>
          </w:tcPr>
          <w:p w14:paraId="0A1D8C10" w14:textId="5B6F89E1" w:rsidR="00E1528A" w:rsidRDefault="00CB3959" w:rsidP="00353F81">
            <w:r w:rsidRPr="00353F81">
              <w:t>Department of Communities and Justice</w:t>
            </w:r>
            <w:r w:rsidR="00945EC9">
              <w:t xml:space="preserve"> NSW</w:t>
            </w:r>
          </w:p>
          <w:p w14:paraId="2E604E54" w14:textId="3F0DA91D" w:rsidR="006416F0" w:rsidRPr="000B0446" w:rsidRDefault="00CB3959" w:rsidP="00E1528A">
            <w:r w:rsidRPr="00353F81">
              <w:t>Aboriginal Affairs NSW</w:t>
            </w:r>
          </w:p>
        </w:tc>
        <w:tc>
          <w:tcPr>
            <w:tcW w:w="2517" w:type="dxa"/>
            <w:tcMar>
              <w:left w:w="108" w:type="dxa"/>
            </w:tcMar>
          </w:tcPr>
          <w:p w14:paraId="3FA9ACE1" w14:textId="367E914B" w:rsidR="0068256C" w:rsidRPr="00353F81" w:rsidRDefault="00894AE2" w:rsidP="000B0446">
            <w:r w:rsidRPr="00353F81">
              <w:t>Develop options in 2024</w:t>
            </w:r>
          </w:p>
        </w:tc>
      </w:tr>
      <w:tr w:rsidR="006416F0" w:rsidRPr="00353F81" w14:paraId="1429AE5A" w14:textId="77777777" w:rsidTr="006247A1">
        <w:tc>
          <w:tcPr>
            <w:tcW w:w="9521" w:type="dxa"/>
            <w:tcMar>
              <w:left w:w="108" w:type="dxa"/>
            </w:tcMar>
          </w:tcPr>
          <w:p w14:paraId="7746CEE1" w14:textId="0A9A0698" w:rsidR="006416F0" w:rsidRPr="00353F81" w:rsidRDefault="009675CC" w:rsidP="000B0446">
            <w:pPr>
              <w:rPr>
                <w:b/>
                <w:bCs/>
              </w:rPr>
            </w:pPr>
            <w:r>
              <w:rPr>
                <w:b/>
                <w:bCs/>
              </w:rPr>
              <w:t xml:space="preserve">10. </w:t>
            </w:r>
            <w:r w:rsidR="006416F0" w:rsidRPr="00353F81">
              <w:rPr>
                <w:b/>
                <w:bCs/>
              </w:rPr>
              <w:t xml:space="preserve">Continue working </w:t>
            </w:r>
            <w:r w:rsidR="00A24DED" w:rsidRPr="00353F81">
              <w:rPr>
                <w:b/>
                <w:bCs/>
              </w:rPr>
              <w:t xml:space="preserve">in partnership </w:t>
            </w:r>
            <w:r w:rsidR="006416F0" w:rsidRPr="00353F81">
              <w:rPr>
                <w:b/>
                <w:bCs/>
              </w:rPr>
              <w:t>with the NSW Coalition of Aboriginal Peak Organisations to implement the NSW Closing the Gap Implementation Plan 2022-2024</w:t>
            </w:r>
            <w:r w:rsidR="000B7F51">
              <w:rPr>
                <w:b/>
                <w:bCs/>
              </w:rPr>
              <w:t xml:space="preserve"> and </w:t>
            </w:r>
            <w:r w:rsidR="0089783F">
              <w:rPr>
                <w:b/>
                <w:bCs/>
              </w:rPr>
              <w:t xml:space="preserve">future </w:t>
            </w:r>
            <w:r w:rsidR="000B7F51">
              <w:rPr>
                <w:b/>
                <w:bCs/>
              </w:rPr>
              <w:t xml:space="preserve"> </w:t>
            </w:r>
            <w:r w:rsidR="006213B5">
              <w:rPr>
                <w:b/>
                <w:bCs/>
              </w:rPr>
              <w:t>Implementation Plan</w:t>
            </w:r>
            <w:r w:rsidR="0089783F">
              <w:rPr>
                <w:b/>
                <w:bCs/>
              </w:rPr>
              <w:t>s</w:t>
            </w:r>
          </w:p>
          <w:p w14:paraId="629F9F7D" w14:textId="3F30F2C6" w:rsidR="00E44B20" w:rsidRPr="000B0446" w:rsidRDefault="00CB3959" w:rsidP="000B0446">
            <w:r w:rsidRPr="00353F81">
              <w:t>The NSW implementation plan acknowledges intersectionality and the need to bring an Aboriginal lens to key disability reforms, such as Australia’s Disability Strategy. There are several initiatives that consider the unique needs of Aboriginal people with disability. NSW is working with the NSW Coalition of Aboriginal Peak Organisations, including the First Peoples Disability Network, to further these implementation goals.</w:t>
            </w:r>
          </w:p>
        </w:tc>
        <w:tc>
          <w:tcPr>
            <w:tcW w:w="2977" w:type="dxa"/>
            <w:tcMar>
              <w:left w:w="108" w:type="dxa"/>
            </w:tcMar>
          </w:tcPr>
          <w:p w14:paraId="20B6667D" w14:textId="6295DD59" w:rsidR="006416F0" w:rsidRPr="00353F81" w:rsidRDefault="00D21A66" w:rsidP="000B0446">
            <w:r w:rsidRPr="00353F81">
              <w:t>Aboriginal Affairs</w:t>
            </w:r>
            <w:r w:rsidR="00CB3959" w:rsidRPr="00353F81">
              <w:t xml:space="preserve"> NSW</w:t>
            </w:r>
          </w:p>
        </w:tc>
        <w:tc>
          <w:tcPr>
            <w:tcW w:w="2517" w:type="dxa"/>
            <w:tcMar>
              <w:left w:w="108" w:type="dxa"/>
            </w:tcMar>
          </w:tcPr>
          <w:p w14:paraId="1086885A" w14:textId="6EEB7A0E" w:rsidR="006416F0" w:rsidRPr="000B7903" w:rsidRDefault="001A092E" w:rsidP="000B0446">
            <w:r w:rsidRPr="000B7903">
              <w:t>Ongoing</w:t>
            </w:r>
          </w:p>
        </w:tc>
      </w:tr>
      <w:tr w:rsidR="006416F0" w:rsidRPr="00353F81" w14:paraId="436F2E41" w14:textId="77777777" w:rsidTr="006247A1">
        <w:tc>
          <w:tcPr>
            <w:tcW w:w="9521" w:type="dxa"/>
            <w:tcMar>
              <w:left w:w="108" w:type="dxa"/>
            </w:tcMar>
          </w:tcPr>
          <w:p w14:paraId="4EF3CB91" w14:textId="7FEB15D1" w:rsidR="006416F0" w:rsidRPr="00353F81" w:rsidRDefault="009675CC" w:rsidP="000B0446">
            <w:pPr>
              <w:rPr>
                <w:b/>
                <w:bCs/>
              </w:rPr>
            </w:pPr>
            <w:r>
              <w:rPr>
                <w:b/>
                <w:bCs/>
              </w:rPr>
              <w:lastRenderedPageBreak/>
              <w:t xml:space="preserve">11. </w:t>
            </w:r>
            <w:r w:rsidR="006416F0" w:rsidRPr="00353F81">
              <w:rPr>
                <w:b/>
                <w:bCs/>
              </w:rPr>
              <w:t>Work with other governments and First Peoples Disability Network to strengthen implementation of the Disability Sector Strengthening Plan</w:t>
            </w:r>
          </w:p>
          <w:p w14:paraId="37FC43D8" w14:textId="3280ED65" w:rsidR="008D6468" w:rsidRPr="00353F81" w:rsidRDefault="00693B11" w:rsidP="000B0446">
            <w:r w:rsidRPr="00353F81">
              <w:t xml:space="preserve">All </w:t>
            </w:r>
            <w:r w:rsidR="000040EC" w:rsidRPr="00353F81">
              <w:t>governments have committed to work with First Peoples Disability Network</w:t>
            </w:r>
            <w:r w:rsidR="00A40BC7" w:rsidRPr="00353F81">
              <w:t xml:space="preserve"> </w:t>
            </w:r>
            <w:r w:rsidR="000040EC" w:rsidRPr="00353F81">
              <w:t xml:space="preserve">through 2024 to strengthen implementation of the current </w:t>
            </w:r>
            <w:r w:rsidR="000B7903" w:rsidRPr="000B7903">
              <w:t>Disability Sector Strengthening Plan</w:t>
            </w:r>
            <w:r w:rsidR="000040EC" w:rsidRPr="00353F81">
              <w:t xml:space="preserve"> to enable improved outcomes against the existing actions. </w:t>
            </w:r>
          </w:p>
        </w:tc>
        <w:tc>
          <w:tcPr>
            <w:tcW w:w="2977" w:type="dxa"/>
            <w:tcMar>
              <w:left w:w="108" w:type="dxa"/>
            </w:tcMar>
          </w:tcPr>
          <w:p w14:paraId="63C3820B" w14:textId="295FB15C" w:rsidR="006416F0" w:rsidRPr="00353F81" w:rsidRDefault="00D21A66" w:rsidP="000B0446">
            <w:r w:rsidRPr="00353F81">
              <w:t>Aboriginal Affairs</w:t>
            </w:r>
            <w:r w:rsidR="002378BC" w:rsidRPr="00353F81">
              <w:t xml:space="preserve"> NSW</w:t>
            </w:r>
          </w:p>
        </w:tc>
        <w:tc>
          <w:tcPr>
            <w:tcW w:w="2517" w:type="dxa"/>
            <w:tcMar>
              <w:left w:w="108" w:type="dxa"/>
            </w:tcMar>
          </w:tcPr>
          <w:p w14:paraId="5E60D243" w14:textId="5EB6B2D7" w:rsidR="0068256C" w:rsidRPr="000B7903" w:rsidRDefault="00894AE2" w:rsidP="000B0446">
            <w:r w:rsidRPr="000B7903">
              <w:t>Ongoing</w:t>
            </w:r>
          </w:p>
        </w:tc>
      </w:tr>
      <w:tr w:rsidR="006416F0" w:rsidRPr="00353F81" w14:paraId="715ED61A" w14:textId="77777777" w:rsidTr="006247A1">
        <w:tc>
          <w:tcPr>
            <w:tcW w:w="9521" w:type="dxa"/>
            <w:tcMar>
              <w:left w:w="108" w:type="dxa"/>
            </w:tcMar>
          </w:tcPr>
          <w:p w14:paraId="7F3BE1C1" w14:textId="6A667712" w:rsidR="00A374B0" w:rsidRPr="00353F81" w:rsidRDefault="009675CC" w:rsidP="000B0446">
            <w:pPr>
              <w:rPr>
                <w:b/>
                <w:bCs/>
              </w:rPr>
            </w:pPr>
            <w:r>
              <w:rPr>
                <w:b/>
                <w:bCs/>
              </w:rPr>
              <w:t xml:space="preserve">12. </w:t>
            </w:r>
            <w:r w:rsidR="006416F0" w:rsidRPr="00353F81">
              <w:rPr>
                <w:b/>
                <w:bCs/>
              </w:rPr>
              <w:t>Continue to implement the accepted recommendations of Family is Culture Review</w:t>
            </w:r>
          </w:p>
          <w:p w14:paraId="1D0E5BA0" w14:textId="2B4F64A1" w:rsidR="00673D5C" w:rsidRPr="00353F81" w:rsidRDefault="005F029A" w:rsidP="00673D5C">
            <w:r w:rsidRPr="00353F81">
              <w:t xml:space="preserve">The Family is Culture Review Report made 126 recommendations for structural reform to the </w:t>
            </w:r>
            <w:r w:rsidR="00761DFA" w:rsidRPr="00353F81">
              <w:t xml:space="preserve">NSW </w:t>
            </w:r>
            <w:r w:rsidRPr="00353F81">
              <w:t xml:space="preserve">child protection system. </w:t>
            </w:r>
            <w:r w:rsidR="00A374B0" w:rsidRPr="00353F81">
              <w:t xml:space="preserve">To see information of how we are responding to the Family is Culture Review Report recommendations, </w:t>
            </w:r>
            <w:r w:rsidR="00F157BA" w:rsidRPr="00353F81">
              <w:t>see our</w:t>
            </w:r>
            <w:r w:rsidR="00673D5C">
              <w:t xml:space="preserve"> progress reports at </w:t>
            </w:r>
            <w:hyperlink r:id="rId12" w:history="1">
              <w:r w:rsidR="00673D5C" w:rsidRPr="00967173">
                <w:rPr>
                  <w:rStyle w:val="Hyperlink"/>
                </w:rPr>
                <w:t>https://dcj.nsw.gov.au/children-and-families/family-is-culture/nsw-government-response/our-progress.html</w:t>
              </w:r>
            </w:hyperlink>
            <w:r w:rsidR="00673D5C">
              <w:t>.</w:t>
            </w:r>
          </w:p>
        </w:tc>
        <w:tc>
          <w:tcPr>
            <w:tcW w:w="2977" w:type="dxa"/>
            <w:tcMar>
              <w:left w:w="108" w:type="dxa"/>
            </w:tcMar>
          </w:tcPr>
          <w:p w14:paraId="4ADDC07F" w14:textId="12FB80E1" w:rsidR="006416F0" w:rsidRPr="00353F81" w:rsidRDefault="002378BC" w:rsidP="000B0446">
            <w:r w:rsidRPr="00353F81">
              <w:t>Department of Communities and Justice</w:t>
            </w:r>
            <w:r w:rsidR="00945EC9">
              <w:t xml:space="preserve"> </w:t>
            </w:r>
          </w:p>
        </w:tc>
        <w:tc>
          <w:tcPr>
            <w:tcW w:w="2517" w:type="dxa"/>
            <w:tcMar>
              <w:left w:w="108" w:type="dxa"/>
            </w:tcMar>
          </w:tcPr>
          <w:p w14:paraId="382EAAE5" w14:textId="11408FE1" w:rsidR="0068256C" w:rsidRPr="00353F81" w:rsidRDefault="00292238" w:rsidP="000B0446">
            <w:r>
              <w:t>T</w:t>
            </w:r>
            <w:r w:rsidR="00E6478A" w:rsidRPr="00353F81">
              <w:t xml:space="preserve">he latest progress report </w:t>
            </w:r>
            <w:r>
              <w:t xml:space="preserve">was published </w:t>
            </w:r>
            <w:r w:rsidR="00E6478A" w:rsidRPr="00353F81">
              <w:t>in February 2024. The next progress report is in planning, date to be advised.</w:t>
            </w:r>
          </w:p>
        </w:tc>
      </w:tr>
      <w:tr w:rsidR="006416F0" w:rsidRPr="00353F81" w14:paraId="0894DCE5" w14:textId="77777777" w:rsidTr="006247A1">
        <w:tc>
          <w:tcPr>
            <w:tcW w:w="9521" w:type="dxa"/>
            <w:tcMar>
              <w:left w:w="108" w:type="dxa"/>
            </w:tcMar>
          </w:tcPr>
          <w:p w14:paraId="04247EEF" w14:textId="78BF9FE8" w:rsidR="00D319A3" w:rsidRPr="000B0446" w:rsidRDefault="009675CC" w:rsidP="000B0446">
            <w:pPr>
              <w:rPr>
                <w:b/>
                <w:bCs/>
              </w:rPr>
            </w:pPr>
            <w:r>
              <w:rPr>
                <w:b/>
                <w:bCs/>
              </w:rPr>
              <w:t xml:space="preserve">13. </w:t>
            </w:r>
            <w:r w:rsidR="006416F0" w:rsidRPr="00353F81">
              <w:rPr>
                <w:b/>
                <w:bCs/>
              </w:rPr>
              <w:t xml:space="preserve">Work with the Ministerial Aboriginal Partnership Group </w:t>
            </w:r>
            <w:r w:rsidR="001B6282" w:rsidRPr="00353F81">
              <w:rPr>
                <w:b/>
                <w:bCs/>
              </w:rPr>
              <w:t xml:space="preserve">(MAP Group) </w:t>
            </w:r>
            <w:r w:rsidR="006416F0" w:rsidRPr="00353F81">
              <w:rPr>
                <w:b/>
                <w:bCs/>
              </w:rPr>
              <w:t xml:space="preserve">to </w:t>
            </w:r>
            <w:r w:rsidR="00C16C7B" w:rsidRPr="00353F81">
              <w:rPr>
                <w:b/>
                <w:bCs/>
              </w:rPr>
              <w:t xml:space="preserve">help </w:t>
            </w:r>
            <w:r w:rsidR="006416F0" w:rsidRPr="00353F81">
              <w:rPr>
                <w:b/>
                <w:bCs/>
              </w:rPr>
              <w:t xml:space="preserve">design significant structural reform of the child protection system </w:t>
            </w:r>
            <w:r w:rsidR="00C16C7B" w:rsidRPr="00353F81">
              <w:rPr>
                <w:b/>
                <w:bCs/>
              </w:rPr>
              <w:t>and consider disability in this process</w:t>
            </w:r>
          </w:p>
          <w:p w14:paraId="58F09B51" w14:textId="1FD44E2E" w:rsidR="001B6282" w:rsidRPr="00353F81" w:rsidRDefault="00D319A3" w:rsidP="00673D5C">
            <w:r w:rsidRPr="00353F81">
              <w:t xml:space="preserve">The MAP Group was established in February 2024 with the Minister for Families and Communities, Aboriginal stakeholders and communities. The MAP Group is overseeing reforms to the child protection system aimed at reducing the unacceptably high number of Aboriginal children entering out-of-home care (OOHC) by supporting families and partnering with Aboriginal organisations to keep more kids safe. </w:t>
            </w:r>
            <w:proofErr w:type="spellStart"/>
            <w:r w:rsidRPr="00353F81">
              <w:t>AbSec</w:t>
            </w:r>
            <w:proofErr w:type="spellEnd"/>
            <w:r w:rsidRPr="00353F81">
              <w:t xml:space="preserve"> is providing secretariat for this group.</w:t>
            </w:r>
          </w:p>
        </w:tc>
        <w:tc>
          <w:tcPr>
            <w:tcW w:w="2977" w:type="dxa"/>
            <w:tcMar>
              <w:left w:w="108" w:type="dxa"/>
            </w:tcMar>
          </w:tcPr>
          <w:p w14:paraId="1438160C" w14:textId="77777777" w:rsidR="001D7BCE" w:rsidRDefault="001D7BCE" w:rsidP="00E1528A">
            <w:r w:rsidRPr="00353F81">
              <w:t>Department of Communities and Justice</w:t>
            </w:r>
            <w:r>
              <w:t xml:space="preserve"> </w:t>
            </w:r>
          </w:p>
          <w:p w14:paraId="21834C0B" w14:textId="064806C3" w:rsidR="006416F0" w:rsidRPr="000B0446" w:rsidRDefault="00A5723A" w:rsidP="00E1528A">
            <w:r w:rsidRPr="00A5723A">
              <w:t>NSW Child, Family and Community Peak Aboriginal Corporation</w:t>
            </w:r>
            <w:r>
              <w:t xml:space="preserve"> (</w:t>
            </w:r>
            <w:proofErr w:type="spellStart"/>
            <w:r w:rsidR="00514178" w:rsidRPr="00353F81">
              <w:t>AbSec</w:t>
            </w:r>
            <w:proofErr w:type="spellEnd"/>
            <w:r>
              <w:t>)</w:t>
            </w:r>
            <w:r w:rsidR="002378BC" w:rsidRPr="00353F81">
              <w:t xml:space="preserve"> </w:t>
            </w:r>
          </w:p>
        </w:tc>
        <w:tc>
          <w:tcPr>
            <w:tcW w:w="2517" w:type="dxa"/>
            <w:tcMar>
              <w:left w:w="108" w:type="dxa"/>
            </w:tcMar>
          </w:tcPr>
          <w:p w14:paraId="450915C4" w14:textId="1572D277" w:rsidR="006416F0" w:rsidRPr="00353F81" w:rsidRDefault="00514178" w:rsidP="000B0446">
            <w:r w:rsidRPr="00353F81">
              <w:t>2024</w:t>
            </w:r>
          </w:p>
        </w:tc>
      </w:tr>
      <w:tr w:rsidR="001D07B2" w:rsidRPr="00353F81" w14:paraId="48C2B16D" w14:textId="77777777" w:rsidTr="0094190F">
        <w:tc>
          <w:tcPr>
            <w:tcW w:w="9521" w:type="dxa"/>
            <w:shd w:val="clear" w:color="auto" w:fill="CBEDFD" w:themeFill="accent2"/>
            <w:tcMar>
              <w:left w:w="108" w:type="dxa"/>
            </w:tcMar>
          </w:tcPr>
          <w:p w14:paraId="159D82FA" w14:textId="77777777" w:rsidR="001D07B2" w:rsidRPr="000B0446" w:rsidRDefault="001D07B2" w:rsidP="000B0446">
            <w:r w:rsidRPr="00353F81">
              <w:t>Addressing barriers to promote inclusion and access</w:t>
            </w:r>
          </w:p>
        </w:tc>
        <w:tc>
          <w:tcPr>
            <w:tcW w:w="2977" w:type="dxa"/>
            <w:shd w:val="clear" w:color="auto" w:fill="CBEDFD" w:themeFill="accent2"/>
          </w:tcPr>
          <w:p w14:paraId="56B6669E" w14:textId="77777777" w:rsidR="001D07B2" w:rsidRPr="000B0446" w:rsidRDefault="001D07B2" w:rsidP="000B0446"/>
        </w:tc>
        <w:tc>
          <w:tcPr>
            <w:tcW w:w="2517" w:type="dxa"/>
            <w:shd w:val="clear" w:color="auto" w:fill="CBEDFD" w:themeFill="accent2"/>
          </w:tcPr>
          <w:p w14:paraId="624694AE" w14:textId="1645FA3C" w:rsidR="001D07B2" w:rsidRPr="000B0446" w:rsidRDefault="001D07B2" w:rsidP="000B0446"/>
        </w:tc>
      </w:tr>
      <w:tr w:rsidR="006416F0" w:rsidRPr="00353F81" w14:paraId="5768950D" w14:textId="77777777" w:rsidTr="006247A1">
        <w:tc>
          <w:tcPr>
            <w:tcW w:w="9521" w:type="dxa"/>
            <w:tcMar>
              <w:left w:w="108" w:type="dxa"/>
            </w:tcMar>
          </w:tcPr>
          <w:p w14:paraId="40D08A3E" w14:textId="0A98E627" w:rsidR="006416F0" w:rsidRPr="00353F81" w:rsidRDefault="00673D5C" w:rsidP="000B0446">
            <w:r>
              <w:rPr>
                <w:b/>
                <w:bCs/>
              </w:rPr>
              <w:t>1</w:t>
            </w:r>
            <w:r w:rsidR="00F32929">
              <w:rPr>
                <w:b/>
                <w:bCs/>
              </w:rPr>
              <w:t>4</w:t>
            </w:r>
            <w:r>
              <w:rPr>
                <w:b/>
                <w:bCs/>
              </w:rPr>
              <w:t>. S</w:t>
            </w:r>
            <w:r w:rsidR="006416F0" w:rsidRPr="00353F81">
              <w:rPr>
                <w:b/>
                <w:bCs/>
              </w:rPr>
              <w:t xml:space="preserve">upport advocacy in NSW through the Disability Advocacy Futures Program </w:t>
            </w:r>
            <w:r w:rsidR="00A27860" w:rsidRPr="00353F81">
              <w:rPr>
                <w:b/>
                <w:bCs/>
              </w:rPr>
              <w:t xml:space="preserve">(DAFP) </w:t>
            </w:r>
            <w:r w:rsidR="006416F0" w:rsidRPr="00353F81">
              <w:rPr>
                <w:b/>
                <w:bCs/>
              </w:rPr>
              <w:t>and implement an outcomes and reporting framework</w:t>
            </w:r>
          </w:p>
          <w:p w14:paraId="5D977A12" w14:textId="6D958F55" w:rsidR="00235118" w:rsidRPr="00353F81" w:rsidRDefault="00F17E33" w:rsidP="000B0446">
            <w:r w:rsidRPr="00353F81">
              <w:t xml:space="preserve">In March 2024 the NSW Government </w:t>
            </w:r>
            <w:r w:rsidR="000A1483" w:rsidRPr="00353F81">
              <w:t>announced</w:t>
            </w:r>
            <w:r w:rsidR="00FC41E2" w:rsidRPr="00353F81">
              <w:t xml:space="preserve"> </w:t>
            </w:r>
            <w:r w:rsidR="005A5E0C" w:rsidRPr="00353F81">
              <w:t>$28 million in f</w:t>
            </w:r>
            <w:r w:rsidR="000E7565" w:rsidRPr="00353F81">
              <w:t xml:space="preserve">unding for the </w:t>
            </w:r>
            <w:r w:rsidR="00673D5C">
              <w:t>DAFP</w:t>
            </w:r>
            <w:r w:rsidR="00DC1C89" w:rsidRPr="00353F81">
              <w:t xml:space="preserve">, </w:t>
            </w:r>
            <w:r w:rsidR="00D53B14" w:rsidRPr="00353F81">
              <w:t>to extend the program for a further two years</w:t>
            </w:r>
            <w:r w:rsidR="000E7565" w:rsidRPr="00353F81">
              <w:t xml:space="preserve"> to ensure approximately 1.4 million people with disability can access NSW Government funded services</w:t>
            </w:r>
            <w:r w:rsidR="000A1483" w:rsidRPr="00353F81">
              <w:t>.</w:t>
            </w:r>
          </w:p>
          <w:p w14:paraId="06748158" w14:textId="6E4844EC" w:rsidR="009B1C36" w:rsidRPr="00353F81" w:rsidRDefault="009B1C36" w:rsidP="000B0446">
            <w:r w:rsidRPr="00353F81">
              <w:lastRenderedPageBreak/>
              <w:t xml:space="preserve">The government will continue to work with </w:t>
            </w:r>
            <w:r w:rsidR="00A400CF" w:rsidRPr="00353F81">
              <w:t xml:space="preserve">DAFP providers to develop an outcomes framework to better understand the level on unmet need for disability advocacy services in NSW and </w:t>
            </w:r>
            <w:r w:rsidR="00A50BB5" w:rsidRPr="00353F81">
              <w:t>report on outcomes</w:t>
            </w:r>
            <w:r w:rsidR="004B0689" w:rsidRPr="00353F81">
              <w:t>.</w:t>
            </w:r>
          </w:p>
        </w:tc>
        <w:tc>
          <w:tcPr>
            <w:tcW w:w="2977" w:type="dxa"/>
            <w:tcMar>
              <w:left w:w="108" w:type="dxa"/>
            </w:tcMar>
          </w:tcPr>
          <w:p w14:paraId="130FA53A" w14:textId="77777777" w:rsidR="009B07A3" w:rsidRDefault="002378BC" w:rsidP="00E1528A">
            <w:r w:rsidRPr="00353F81">
              <w:lastRenderedPageBreak/>
              <w:t>Department of Communities and Justice</w:t>
            </w:r>
            <w:r w:rsidR="00115C2E">
              <w:t xml:space="preserve"> </w:t>
            </w:r>
          </w:p>
          <w:p w14:paraId="3E92BBE0" w14:textId="46C28322" w:rsidR="006416F0" w:rsidRPr="00353F81" w:rsidRDefault="002B1E2C" w:rsidP="00E1528A">
            <w:r>
              <w:t xml:space="preserve">NSW </w:t>
            </w:r>
            <w:r w:rsidR="001D33F6">
              <w:t xml:space="preserve">Department of Education </w:t>
            </w:r>
          </w:p>
        </w:tc>
        <w:tc>
          <w:tcPr>
            <w:tcW w:w="2517" w:type="dxa"/>
            <w:tcMar>
              <w:left w:w="108" w:type="dxa"/>
            </w:tcMar>
          </w:tcPr>
          <w:p w14:paraId="1E3E4EFA" w14:textId="42E52663" w:rsidR="006416F0" w:rsidRPr="00353F81" w:rsidRDefault="004B0689" w:rsidP="000B0446">
            <w:r w:rsidRPr="00353F81">
              <w:t>December 2024</w:t>
            </w:r>
          </w:p>
        </w:tc>
      </w:tr>
      <w:tr w:rsidR="006416F0" w:rsidRPr="00353F81" w14:paraId="2B1E472B" w14:textId="77777777" w:rsidTr="006247A1">
        <w:tc>
          <w:tcPr>
            <w:tcW w:w="9521" w:type="dxa"/>
            <w:tcMar>
              <w:left w:w="108" w:type="dxa"/>
            </w:tcMar>
          </w:tcPr>
          <w:p w14:paraId="225223D0" w14:textId="02164152" w:rsidR="006416F0" w:rsidRPr="00353F81" w:rsidRDefault="003F4EA3" w:rsidP="000B0446">
            <w:r>
              <w:rPr>
                <w:b/>
                <w:bCs/>
              </w:rPr>
              <w:t>1</w:t>
            </w:r>
            <w:r w:rsidR="00F32929">
              <w:rPr>
                <w:b/>
                <w:bCs/>
              </w:rPr>
              <w:t>5</w:t>
            </w:r>
            <w:r>
              <w:rPr>
                <w:b/>
                <w:bCs/>
              </w:rPr>
              <w:t xml:space="preserve">. </w:t>
            </w:r>
            <w:r w:rsidR="004434FE" w:rsidRPr="00353F81">
              <w:rPr>
                <w:b/>
                <w:bCs/>
              </w:rPr>
              <w:t xml:space="preserve">Work with </w:t>
            </w:r>
            <w:r>
              <w:rPr>
                <w:b/>
                <w:bCs/>
              </w:rPr>
              <w:t xml:space="preserve">other governments </w:t>
            </w:r>
            <w:r w:rsidR="004434FE" w:rsidRPr="00353F81">
              <w:rPr>
                <w:b/>
                <w:bCs/>
              </w:rPr>
              <w:t>to b</w:t>
            </w:r>
            <w:r w:rsidR="006416F0" w:rsidRPr="00353F81">
              <w:rPr>
                <w:b/>
                <w:bCs/>
              </w:rPr>
              <w:t>uild on the National Disability Advocacy Framework 2023-2025, prioritising work to increase culturally appropriate and accessible advocacy services</w:t>
            </w:r>
            <w:r w:rsidR="00A27860" w:rsidRPr="00353F81">
              <w:rPr>
                <w:b/>
                <w:bCs/>
              </w:rPr>
              <w:t xml:space="preserve"> for people with disability from diverse communities</w:t>
            </w:r>
          </w:p>
          <w:p w14:paraId="587A1F87" w14:textId="5A2F6758" w:rsidR="0014726B" w:rsidRPr="00353F81" w:rsidRDefault="00B87E0D" w:rsidP="000B0446">
            <w:r w:rsidRPr="00353F81">
              <w:t xml:space="preserve">On 21 April 2023, Disability Ministers endorsed the National Disability Advocacy Framework 2023-2025 (NDAF) and associated Disability Advocacy Work Plan.  </w:t>
            </w:r>
            <w:r w:rsidR="00717B74" w:rsidRPr="00353F81">
              <w:t xml:space="preserve">We will work </w:t>
            </w:r>
            <w:r w:rsidR="00A46BA4" w:rsidRPr="00353F81">
              <w:t xml:space="preserve">together with other governments to prioritise </w:t>
            </w:r>
            <w:r w:rsidRPr="000B0446">
              <w:t xml:space="preserve">work on increasing culturally appropriate and accessible advocacy services for First Nations people with disability, people with disability from culturally and linguistically diverse backgrounds, including the </w:t>
            </w:r>
            <w:proofErr w:type="spellStart"/>
            <w:r w:rsidRPr="000B0446">
              <w:t>Auslan</w:t>
            </w:r>
            <w:proofErr w:type="spellEnd"/>
            <w:r w:rsidRPr="000B0446">
              <w:t>-using and Deaf communities, and LGBTIQA+ people with disability</w:t>
            </w:r>
            <w:r w:rsidR="00A46BA4" w:rsidRPr="000B0446">
              <w:t>.</w:t>
            </w:r>
          </w:p>
        </w:tc>
        <w:tc>
          <w:tcPr>
            <w:tcW w:w="2977" w:type="dxa"/>
            <w:tcMar>
              <w:left w:w="108" w:type="dxa"/>
            </w:tcMar>
          </w:tcPr>
          <w:p w14:paraId="60185C4E" w14:textId="0B25A15B" w:rsidR="006416F0" w:rsidRPr="00353F81" w:rsidRDefault="001D7BCE" w:rsidP="000B0446">
            <w:r w:rsidRPr="00353F81">
              <w:t>Department of Communities and Justice</w:t>
            </w:r>
          </w:p>
        </w:tc>
        <w:tc>
          <w:tcPr>
            <w:tcW w:w="2517" w:type="dxa"/>
            <w:tcMar>
              <w:left w:w="108" w:type="dxa"/>
            </w:tcMar>
          </w:tcPr>
          <w:p w14:paraId="2199FA26" w14:textId="090347FF" w:rsidR="006416F0" w:rsidRPr="00353F81" w:rsidRDefault="00F54BC8" w:rsidP="000B0446">
            <w:r w:rsidRPr="00353F81">
              <w:t>End of 2025</w:t>
            </w:r>
          </w:p>
        </w:tc>
      </w:tr>
      <w:tr w:rsidR="006416F0" w:rsidRPr="00353F81" w14:paraId="79BB8BE6" w14:textId="77777777" w:rsidTr="006247A1">
        <w:tc>
          <w:tcPr>
            <w:tcW w:w="9521" w:type="dxa"/>
            <w:tcMar>
              <w:left w:w="108" w:type="dxa"/>
            </w:tcMar>
          </w:tcPr>
          <w:p w14:paraId="65B2D5DE" w14:textId="392374E5" w:rsidR="00A27860" w:rsidRPr="00353F81" w:rsidRDefault="003F4EA3" w:rsidP="000B0446">
            <w:pPr>
              <w:rPr>
                <w:b/>
                <w:bCs/>
              </w:rPr>
            </w:pPr>
            <w:r>
              <w:rPr>
                <w:b/>
                <w:bCs/>
              </w:rPr>
              <w:t>1</w:t>
            </w:r>
            <w:r w:rsidR="00F32929">
              <w:rPr>
                <w:b/>
                <w:bCs/>
              </w:rPr>
              <w:t>6</w:t>
            </w:r>
            <w:r>
              <w:rPr>
                <w:b/>
                <w:bCs/>
              </w:rPr>
              <w:t xml:space="preserve">. </w:t>
            </w:r>
            <w:r w:rsidR="006416F0" w:rsidRPr="00353F81">
              <w:rPr>
                <w:b/>
                <w:bCs/>
              </w:rPr>
              <w:t>Work with other governments</w:t>
            </w:r>
            <w:r w:rsidR="00A27860" w:rsidRPr="00353F81">
              <w:rPr>
                <w:b/>
                <w:bCs/>
              </w:rPr>
              <w:t>, people with disability and their representative organisations</w:t>
            </w:r>
            <w:r w:rsidR="006416F0" w:rsidRPr="00353F81">
              <w:rPr>
                <w:b/>
                <w:bCs/>
              </w:rPr>
              <w:t xml:space="preserve"> to develop a new national plan to improve the accessibility of information</w:t>
            </w:r>
          </w:p>
          <w:p w14:paraId="466FC2B5" w14:textId="61ED8A8E" w:rsidR="00D56965" w:rsidRPr="00353F81" w:rsidRDefault="000C6109" w:rsidP="000B0446">
            <w:r w:rsidRPr="00353F81">
              <w:t>NSW</w:t>
            </w:r>
            <w:r w:rsidR="00475113" w:rsidRPr="00353F81">
              <w:t xml:space="preserve"> will work with other governments to develop</w:t>
            </w:r>
            <w:r w:rsidR="00D56965" w:rsidRPr="00353F81">
              <w:t xml:space="preserve"> an Associated Plan to Australia’s Disability Strategy 2021-31 to improve the accessibility of information and communications for people with disability. The Associated Plan will be developed with people with disability</w:t>
            </w:r>
            <w:r w:rsidRPr="00353F81">
              <w:t xml:space="preserve">, including diverse people with disability who may face additional and particular barriers to accessing information and communications. </w:t>
            </w:r>
            <w:r w:rsidR="00D56965" w:rsidRPr="00353F81">
              <w:t>Scoping and development will commence in 2024.</w:t>
            </w:r>
          </w:p>
        </w:tc>
        <w:tc>
          <w:tcPr>
            <w:tcW w:w="2977" w:type="dxa"/>
            <w:tcMar>
              <w:left w:w="108" w:type="dxa"/>
            </w:tcMar>
          </w:tcPr>
          <w:p w14:paraId="488D6AE7" w14:textId="04017EE5" w:rsidR="006416F0" w:rsidRPr="00353F81" w:rsidRDefault="001D7BCE" w:rsidP="000B0446">
            <w:r w:rsidRPr="00353F81">
              <w:t>Department of Communities and Justice</w:t>
            </w:r>
          </w:p>
        </w:tc>
        <w:tc>
          <w:tcPr>
            <w:tcW w:w="2517" w:type="dxa"/>
            <w:tcMar>
              <w:left w:w="108" w:type="dxa"/>
            </w:tcMar>
          </w:tcPr>
          <w:p w14:paraId="744AEEE4" w14:textId="7E456F13" w:rsidR="006416F0" w:rsidRPr="00353F81" w:rsidRDefault="002E6327" w:rsidP="000B0446">
            <w:r>
              <w:t xml:space="preserve">From September </w:t>
            </w:r>
            <w:r w:rsidR="006F2001" w:rsidRPr="00353F81">
              <w:t>2024</w:t>
            </w:r>
          </w:p>
        </w:tc>
      </w:tr>
      <w:tr w:rsidR="006416F0" w:rsidRPr="00353F81" w14:paraId="1D3C61CF" w14:textId="77777777" w:rsidTr="006247A1">
        <w:tc>
          <w:tcPr>
            <w:tcW w:w="9521" w:type="dxa"/>
            <w:tcMar>
              <w:left w:w="108" w:type="dxa"/>
            </w:tcMar>
          </w:tcPr>
          <w:p w14:paraId="021152B1" w14:textId="1126966B" w:rsidR="006416F0" w:rsidRPr="00353F81" w:rsidRDefault="003F4EA3" w:rsidP="000B0446">
            <w:r>
              <w:rPr>
                <w:b/>
                <w:bCs/>
              </w:rPr>
              <w:t>1</w:t>
            </w:r>
            <w:r w:rsidR="00F32929">
              <w:rPr>
                <w:b/>
                <w:bCs/>
              </w:rPr>
              <w:t>7</w:t>
            </w:r>
            <w:r>
              <w:rPr>
                <w:b/>
                <w:bCs/>
              </w:rPr>
              <w:t xml:space="preserve">. </w:t>
            </w:r>
            <w:r w:rsidR="006416F0" w:rsidRPr="00353F81">
              <w:rPr>
                <w:b/>
                <w:bCs/>
              </w:rPr>
              <w:t xml:space="preserve">Continue work to </w:t>
            </w:r>
            <w:r w:rsidR="004434FE" w:rsidRPr="00353F81">
              <w:rPr>
                <w:b/>
                <w:bCs/>
              </w:rPr>
              <w:t xml:space="preserve">have all NSW Government information relevant to people with intellectual disability in Easy Read by 2025 and developing an </w:t>
            </w:r>
            <w:r>
              <w:rPr>
                <w:b/>
                <w:bCs/>
              </w:rPr>
              <w:t>E</w:t>
            </w:r>
            <w:r w:rsidR="004434FE" w:rsidRPr="00353F81">
              <w:rPr>
                <w:b/>
                <w:bCs/>
              </w:rPr>
              <w:t xml:space="preserve">asy </w:t>
            </w:r>
            <w:r>
              <w:rPr>
                <w:b/>
                <w:bCs/>
              </w:rPr>
              <w:t>R</w:t>
            </w:r>
            <w:r w:rsidR="004434FE" w:rsidRPr="00353F81">
              <w:rPr>
                <w:b/>
                <w:bCs/>
              </w:rPr>
              <w:t xml:space="preserve">ead </w:t>
            </w:r>
            <w:r>
              <w:rPr>
                <w:b/>
                <w:bCs/>
              </w:rPr>
              <w:t>S</w:t>
            </w:r>
            <w:r w:rsidR="004434FE" w:rsidRPr="00353F81">
              <w:rPr>
                <w:b/>
                <w:bCs/>
              </w:rPr>
              <w:t xml:space="preserve">tyle </w:t>
            </w:r>
            <w:r>
              <w:rPr>
                <w:b/>
                <w:bCs/>
              </w:rPr>
              <w:t>G</w:t>
            </w:r>
            <w:r w:rsidR="004434FE" w:rsidRPr="00353F81">
              <w:rPr>
                <w:b/>
                <w:bCs/>
              </w:rPr>
              <w:t>uide</w:t>
            </w:r>
            <w:r w:rsidR="003C148A" w:rsidRPr="00353F81">
              <w:t xml:space="preserve"> </w:t>
            </w:r>
          </w:p>
          <w:p w14:paraId="09B27A45" w14:textId="1AD20E87" w:rsidR="002E6327" w:rsidRPr="00353F81" w:rsidRDefault="00E276C4" w:rsidP="000B0446">
            <w:r w:rsidRPr="00353F81">
              <w:t>The Department of Customer Service has prepared the first draft of the Style Guide in collaboration with a range of disability advocacies, including the Council for Intellectual Disability</w:t>
            </w:r>
            <w:r w:rsidR="00F64854">
              <w:t xml:space="preserve">. </w:t>
            </w:r>
            <w:r w:rsidRPr="00353F81">
              <w:t xml:space="preserve"> </w:t>
            </w:r>
          </w:p>
        </w:tc>
        <w:tc>
          <w:tcPr>
            <w:tcW w:w="2977" w:type="dxa"/>
            <w:tcMar>
              <w:left w:w="108" w:type="dxa"/>
            </w:tcMar>
          </w:tcPr>
          <w:p w14:paraId="5AD11BAE" w14:textId="486DBF21" w:rsidR="00E1528A" w:rsidRDefault="00AC7E75" w:rsidP="00353F81">
            <w:r w:rsidRPr="00353F81">
              <w:t>D</w:t>
            </w:r>
            <w:r w:rsidR="002378BC" w:rsidRPr="00353F81">
              <w:t xml:space="preserve">epartment of </w:t>
            </w:r>
            <w:r w:rsidRPr="00353F81">
              <w:t>C</w:t>
            </w:r>
            <w:r w:rsidR="002378BC" w:rsidRPr="00353F81">
              <w:t xml:space="preserve">ustomer </w:t>
            </w:r>
            <w:r w:rsidRPr="00353F81">
              <w:t>S</w:t>
            </w:r>
            <w:r w:rsidR="002378BC" w:rsidRPr="00353F81">
              <w:t xml:space="preserve">ervice </w:t>
            </w:r>
          </w:p>
          <w:p w14:paraId="1F095D5E" w14:textId="78E238F8" w:rsidR="006416F0" w:rsidRPr="00353F81" w:rsidRDefault="00E276C4" w:rsidP="00E1528A">
            <w:r w:rsidRPr="00353F81">
              <w:t>Department of Communities and Justice</w:t>
            </w:r>
          </w:p>
        </w:tc>
        <w:tc>
          <w:tcPr>
            <w:tcW w:w="2517" w:type="dxa"/>
            <w:tcMar>
              <w:left w:w="108" w:type="dxa"/>
            </w:tcMar>
          </w:tcPr>
          <w:p w14:paraId="454FB0BF" w14:textId="34A20AA5" w:rsidR="006416F0" w:rsidRPr="00353F81" w:rsidRDefault="00673EE4" w:rsidP="000B0446">
            <w:r w:rsidRPr="00353F81">
              <w:t>2025</w:t>
            </w:r>
          </w:p>
        </w:tc>
      </w:tr>
      <w:tr w:rsidR="006416F0" w:rsidRPr="00353F81" w14:paraId="7F6B7E9C" w14:textId="77777777" w:rsidTr="006247A1">
        <w:tc>
          <w:tcPr>
            <w:tcW w:w="9521" w:type="dxa"/>
            <w:tcMar>
              <w:left w:w="108" w:type="dxa"/>
            </w:tcMar>
          </w:tcPr>
          <w:p w14:paraId="53BE9141" w14:textId="4202AED4" w:rsidR="006416F0" w:rsidRPr="00353F81" w:rsidRDefault="00C421BC" w:rsidP="000B0446">
            <w:pPr>
              <w:rPr>
                <w:b/>
                <w:bCs/>
              </w:rPr>
            </w:pPr>
            <w:r>
              <w:rPr>
                <w:b/>
                <w:bCs/>
              </w:rPr>
              <w:t>1</w:t>
            </w:r>
            <w:r w:rsidR="00F32929">
              <w:rPr>
                <w:b/>
                <w:bCs/>
              </w:rPr>
              <w:t>8</w:t>
            </w:r>
            <w:r>
              <w:rPr>
                <w:b/>
                <w:bCs/>
              </w:rPr>
              <w:t xml:space="preserve">. </w:t>
            </w:r>
            <w:r w:rsidR="006416F0" w:rsidRPr="00353F81">
              <w:rPr>
                <w:b/>
                <w:bCs/>
              </w:rPr>
              <w:t>Develop a principle-based workplace adjustment policy for the NSW Public Service</w:t>
            </w:r>
          </w:p>
          <w:p w14:paraId="03048E98" w14:textId="57F01737" w:rsidR="006416F0" w:rsidRPr="000B0446" w:rsidRDefault="00DE6A45" w:rsidP="00584378">
            <w:r w:rsidRPr="00353F81">
              <w:t xml:space="preserve">The </w:t>
            </w:r>
            <w:r w:rsidR="00BD5928">
              <w:t xml:space="preserve">Office of the </w:t>
            </w:r>
            <w:r w:rsidRPr="00353F81">
              <w:t>Public Service Commission</w:t>
            </w:r>
            <w:r w:rsidR="00BD5928">
              <w:t>er</w:t>
            </w:r>
            <w:r w:rsidRPr="00353F81">
              <w:t xml:space="preserve"> is developing a principle-based workplace adjustment policy </w:t>
            </w:r>
            <w:r w:rsidR="002476F1" w:rsidRPr="00353F81">
              <w:t xml:space="preserve">that will be issued as part of a Direction to all agencies. Agencies will be </w:t>
            </w:r>
            <w:r w:rsidR="002476F1" w:rsidRPr="00353F81">
              <w:lastRenderedPageBreak/>
              <w:t>required to implement a workplace adjustment policy that meets certain minimum standards within 12 months</w:t>
            </w:r>
          </w:p>
        </w:tc>
        <w:tc>
          <w:tcPr>
            <w:tcW w:w="2977" w:type="dxa"/>
            <w:tcMar>
              <w:left w:w="108" w:type="dxa"/>
            </w:tcMar>
          </w:tcPr>
          <w:p w14:paraId="1CF922C9" w14:textId="6B18B0E1" w:rsidR="00322388" w:rsidRDefault="00F33AB3" w:rsidP="00E1528A">
            <w:r>
              <w:lastRenderedPageBreak/>
              <w:t xml:space="preserve">Office of the </w:t>
            </w:r>
            <w:r w:rsidR="00322388" w:rsidRPr="007C4A67">
              <w:t>Public Service Commission</w:t>
            </w:r>
            <w:r>
              <w:t>er</w:t>
            </w:r>
            <w:r w:rsidR="00322388">
              <w:t xml:space="preserve"> </w:t>
            </w:r>
          </w:p>
          <w:p w14:paraId="60DF066D" w14:textId="30B777B1" w:rsidR="006416F0" w:rsidRPr="00353F81" w:rsidRDefault="006416F0" w:rsidP="00E1528A"/>
        </w:tc>
        <w:tc>
          <w:tcPr>
            <w:tcW w:w="2517" w:type="dxa"/>
            <w:tcMar>
              <w:left w:w="108" w:type="dxa"/>
            </w:tcMar>
          </w:tcPr>
          <w:p w14:paraId="6706800E" w14:textId="17CC7C87" w:rsidR="0068256C" w:rsidRPr="0094190F" w:rsidRDefault="002476F1" w:rsidP="000B0446">
            <w:pPr>
              <w:rPr>
                <w:highlight w:val="yellow"/>
              </w:rPr>
            </w:pPr>
            <w:r w:rsidRPr="00353F81">
              <w:t xml:space="preserve">Agency implementation of workplace adjustment </w:t>
            </w:r>
            <w:r w:rsidRPr="00353F81">
              <w:lastRenderedPageBreak/>
              <w:t xml:space="preserve">policy required by </w:t>
            </w:r>
            <w:r w:rsidR="0094190F">
              <w:t>e</w:t>
            </w:r>
            <w:r w:rsidR="00584378">
              <w:t xml:space="preserve">nd of </w:t>
            </w:r>
            <w:r w:rsidRPr="00353F81">
              <w:t>2025</w:t>
            </w:r>
          </w:p>
        </w:tc>
      </w:tr>
      <w:tr w:rsidR="00A27860" w:rsidRPr="00353F81" w14:paraId="36D3D8EB" w14:textId="77777777" w:rsidTr="006247A1">
        <w:tc>
          <w:tcPr>
            <w:tcW w:w="9521" w:type="dxa"/>
            <w:tcMar>
              <w:left w:w="108" w:type="dxa"/>
            </w:tcMar>
          </w:tcPr>
          <w:p w14:paraId="3B243400" w14:textId="3FD2153E" w:rsidR="00A27860" w:rsidRPr="00353F81" w:rsidRDefault="00F32929" w:rsidP="000B0446">
            <w:pPr>
              <w:rPr>
                <w:b/>
                <w:bCs/>
              </w:rPr>
            </w:pPr>
            <w:r>
              <w:rPr>
                <w:b/>
                <w:bCs/>
              </w:rPr>
              <w:lastRenderedPageBreak/>
              <w:t>19</w:t>
            </w:r>
            <w:r w:rsidR="00FE0590">
              <w:rPr>
                <w:b/>
                <w:bCs/>
              </w:rPr>
              <w:t xml:space="preserve">. </w:t>
            </w:r>
            <w:r w:rsidR="00A27860" w:rsidRPr="00353F81">
              <w:rPr>
                <w:b/>
                <w:bCs/>
              </w:rPr>
              <w:t>Continue work at agency level to increase the number</w:t>
            </w:r>
            <w:r w:rsidR="002378BC" w:rsidRPr="00353F81">
              <w:rPr>
                <w:b/>
                <w:bCs/>
              </w:rPr>
              <w:t xml:space="preserve"> </w:t>
            </w:r>
            <w:r w:rsidR="00A27860" w:rsidRPr="00353F81">
              <w:rPr>
                <w:b/>
                <w:bCs/>
              </w:rPr>
              <w:t>of employees with disability.</w:t>
            </w:r>
          </w:p>
          <w:p w14:paraId="2E1961BB" w14:textId="2D4687B9" w:rsidR="002476F1" w:rsidRPr="00353F81" w:rsidRDefault="002476F1" w:rsidP="000B0446">
            <w:r w:rsidRPr="00353F81">
              <w:t xml:space="preserve">The </w:t>
            </w:r>
            <w:r w:rsidR="00214FBD">
              <w:t>Office of the</w:t>
            </w:r>
            <w:r w:rsidR="00214FBD" w:rsidRPr="00353F81">
              <w:t xml:space="preserve"> </w:t>
            </w:r>
            <w:r w:rsidRPr="00353F81">
              <w:t xml:space="preserve">Public Service Commissioner will review the implications and supports required to achieve specific disability employment targets for the NSW public sector. </w:t>
            </w:r>
          </w:p>
          <w:p w14:paraId="5ACB49FD" w14:textId="436D9B72" w:rsidR="00A27860" w:rsidRPr="00353F81" w:rsidRDefault="002476F1" w:rsidP="000B0446">
            <w:r w:rsidRPr="00353F81">
              <w:t xml:space="preserve">The Public Sector Disability Employment and Inclusion Steering Committee will provide oversight and support into the program of work across the NSW Government sector to improve the recruitment and retention of employees with disability.  </w:t>
            </w:r>
          </w:p>
        </w:tc>
        <w:tc>
          <w:tcPr>
            <w:tcW w:w="2977" w:type="dxa"/>
            <w:tcMar>
              <w:left w:w="108" w:type="dxa"/>
            </w:tcMar>
          </w:tcPr>
          <w:p w14:paraId="43E26346" w14:textId="05D191E9" w:rsidR="00A27860" w:rsidRPr="00353F81" w:rsidRDefault="00FE4153" w:rsidP="000B0446">
            <w:r>
              <w:t xml:space="preserve">Office of the </w:t>
            </w:r>
            <w:r w:rsidR="004434FE" w:rsidRPr="00353F81">
              <w:t>Public Service Commission</w:t>
            </w:r>
            <w:r>
              <w:t>er</w:t>
            </w:r>
            <w:r w:rsidR="004434FE" w:rsidRPr="00353F81">
              <w:t xml:space="preserve"> </w:t>
            </w:r>
          </w:p>
        </w:tc>
        <w:tc>
          <w:tcPr>
            <w:tcW w:w="2517" w:type="dxa"/>
            <w:tcMar>
              <w:left w:w="108" w:type="dxa"/>
            </w:tcMar>
          </w:tcPr>
          <w:p w14:paraId="2676A7CD" w14:textId="77777777" w:rsidR="006A20A3" w:rsidRPr="0069617D" w:rsidRDefault="006A20A3" w:rsidP="000B0446">
            <w:r w:rsidRPr="0069617D">
              <w:t>2025</w:t>
            </w:r>
          </w:p>
          <w:p w14:paraId="5F0751A4" w14:textId="4382CAC3" w:rsidR="0068256C" w:rsidRPr="0069617D" w:rsidRDefault="0068256C" w:rsidP="000B0446"/>
        </w:tc>
      </w:tr>
      <w:tr w:rsidR="006416F0" w:rsidRPr="00353F81" w14:paraId="3011A3AA" w14:textId="77777777" w:rsidTr="006247A1">
        <w:tc>
          <w:tcPr>
            <w:tcW w:w="9521" w:type="dxa"/>
            <w:tcMar>
              <w:left w:w="108" w:type="dxa"/>
            </w:tcMar>
          </w:tcPr>
          <w:p w14:paraId="56D11957" w14:textId="19B82C11" w:rsidR="006416F0" w:rsidRPr="00353F81" w:rsidRDefault="00FE0590" w:rsidP="000B0446">
            <w:r>
              <w:rPr>
                <w:b/>
                <w:bCs/>
              </w:rPr>
              <w:t>2</w:t>
            </w:r>
            <w:r w:rsidR="00F32929">
              <w:rPr>
                <w:b/>
                <w:bCs/>
              </w:rPr>
              <w:t>0</w:t>
            </w:r>
            <w:r>
              <w:rPr>
                <w:b/>
                <w:bCs/>
              </w:rPr>
              <w:t xml:space="preserve">. </w:t>
            </w:r>
            <w:r w:rsidR="006416F0" w:rsidRPr="00353F81">
              <w:rPr>
                <w:b/>
                <w:bCs/>
              </w:rPr>
              <w:t>Continue work to integrate accessible procurement practices</w:t>
            </w:r>
            <w:r w:rsidR="00A27860" w:rsidRPr="00353F81">
              <w:t>.</w:t>
            </w:r>
          </w:p>
          <w:p w14:paraId="54FA8E88" w14:textId="7AB6F046" w:rsidR="007C4737" w:rsidRPr="00353F81" w:rsidRDefault="00191022" w:rsidP="000B0446">
            <w:r w:rsidRPr="00353F81">
              <w:t>The NSW Government has developed government guidance and has started a procurement working group on strategies for integrating accessible procurement practices</w:t>
            </w:r>
            <w:r w:rsidR="007C4737" w:rsidRPr="00353F81">
              <w:t>.</w:t>
            </w:r>
          </w:p>
        </w:tc>
        <w:tc>
          <w:tcPr>
            <w:tcW w:w="2977" w:type="dxa"/>
            <w:tcMar>
              <w:left w:w="108" w:type="dxa"/>
            </w:tcMar>
          </w:tcPr>
          <w:p w14:paraId="17915242" w14:textId="07C0B2CA" w:rsidR="00E1528A" w:rsidRDefault="00921C33" w:rsidP="00353F81">
            <w:r w:rsidRPr="00353F81">
              <w:t>D</w:t>
            </w:r>
            <w:r w:rsidR="002378BC" w:rsidRPr="00353F81">
              <w:t>epartment of Customer Serv</w:t>
            </w:r>
            <w:r w:rsidR="00C421BC">
              <w:t>ice</w:t>
            </w:r>
            <w:r w:rsidR="002378BC" w:rsidRPr="00353F81">
              <w:t xml:space="preserve"> </w:t>
            </w:r>
          </w:p>
          <w:p w14:paraId="2B3ACC3A" w14:textId="2362923F" w:rsidR="006416F0" w:rsidRPr="00353F81" w:rsidRDefault="002378BC" w:rsidP="00E1528A">
            <w:r w:rsidRPr="00353F81">
              <w:t xml:space="preserve">NSW </w:t>
            </w:r>
            <w:r w:rsidR="00A12DA7" w:rsidRPr="00353F81">
              <w:t>Treasury</w:t>
            </w:r>
          </w:p>
        </w:tc>
        <w:tc>
          <w:tcPr>
            <w:tcW w:w="2517" w:type="dxa"/>
            <w:tcMar>
              <w:left w:w="108" w:type="dxa"/>
            </w:tcMar>
          </w:tcPr>
          <w:p w14:paraId="09B9983A" w14:textId="572C9474" w:rsidR="0068256C" w:rsidRPr="0069617D" w:rsidRDefault="00DE6A45" w:rsidP="000B0446">
            <w:r w:rsidRPr="0069617D">
              <w:t>Ongoing</w:t>
            </w:r>
          </w:p>
        </w:tc>
      </w:tr>
      <w:tr w:rsidR="001D07B2" w:rsidRPr="00353F81" w14:paraId="47826496" w14:textId="77777777" w:rsidTr="0094190F">
        <w:tc>
          <w:tcPr>
            <w:tcW w:w="9521" w:type="dxa"/>
            <w:shd w:val="clear" w:color="auto" w:fill="CBEDFD" w:themeFill="accent2"/>
            <w:tcMar>
              <w:left w:w="108" w:type="dxa"/>
            </w:tcMar>
          </w:tcPr>
          <w:p w14:paraId="384E5E26" w14:textId="77777777" w:rsidR="001D07B2" w:rsidRPr="000B0446" w:rsidRDefault="001D07B2" w:rsidP="000B0446">
            <w:r w:rsidRPr="00353F81">
              <w:t xml:space="preserve">Building a strong ecosystem of disability support </w:t>
            </w:r>
          </w:p>
        </w:tc>
        <w:tc>
          <w:tcPr>
            <w:tcW w:w="2977" w:type="dxa"/>
            <w:shd w:val="clear" w:color="auto" w:fill="CBEDFD" w:themeFill="accent2"/>
          </w:tcPr>
          <w:p w14:paraId="317EB325" w14:textId="77777777" w:rsidR="001D07B2" w:rsidRPr="000B0446" w:rsidRDefault="001D07B2" w:rsidP="000B0446"/>
        </w:tc>
        <w:tc>
          <w:tcPr>
            <w:tcW w:w="2517" w:type="dxa"/>
            <w:shd w:val="clear" w:color="auto" w:fill="CBEDFD" w:themeFill="accent2"/>
          </w:tcPr>
          <w:p w14:paraId="3E2C6097" w14:textId="2D7D3B08" w:rsidR="001D07B2" w:rsidRPr="000B0446" w:rsidRDefault="001D07B2" w:rsidP="000B0446"/>
        </w:tc>
      </w:tr>
      <w:tr w:rsidR="006416F0" w:rsidRPr="00353F81" w14:paraId="3EA25255" w14:textId="77777777" w:rsidTr="006247A1">
        <w:tc>
          <w:tcPr>
            <w:tcW w:w="9521" w:type="dxa"/>
            <w:tcMar>
              <w:left w:w="108" w:type="dxa"/>
            </w:tcMar>
          </w:tcPr>
          <w:p w14:paraId="37FCBC78" w14:textId="638B424E" w:rsidR="006416F0" w:rsidRPr="00353F81" w:rsidRDefault="00FE0590" w:rsidP="000B0446">
            <w:pPr>
              <w:rPr>
                <w:b/>
                <w:bCs/>
              </w:rPr>
            </w:pPr>
            <w:r>
              <w:rPr>
                <w:b/>
                <w:bCs/>
              </w:rPr>
              <w:t>2</w:t>
            </w:r>
            <w:r w:rsidR="00F32929">
              <w:rPr>
                <w:b/>
                <w:bCs/>
              </w:rPr>
              <w:t>1</w:t>
            </w:r>
            <w:r>
              <w:rPr>
                <w:b/>
                <w:bCs/>
              </w:rPr>
              <w:t xml:space="preserve">. </w:t>
            </w:r>
            <w:r w:rsidR="0069617D" w:rsidRPr="0069617D">
              <w:rPr>
                <w:b/>
                <w:bCs/>
              </w:rPr>
              <w:t>Work with other governments and the disability community to design and implement foundational supports.</w:t>
            </w:r>
          </w:p>
          <w:p w14:paraId="0368F401" w14:textId="5CEC26D8" w:rsidR="006416F0" w:rsidRPr="00353F81" w:rsidRDefault="00F77328" w:rsidP="000B0446">
            <w:r w:rsidRPr="00353F81">
              <w:t xml:space="preserve">All jurisdictions are working towards </w:t>
            </w:r>
            <w:r w:rsidR="003F4E89" w:rsidRPr="00353F81">
              <w:t>the release of a Foundational Supports strategy in the third quarter of 202</w:t>
            </w:r>
            <w:r w:rsidR="00554156" w:rsidRPr="00353F81">
              <w:t>4 with the phased implementation of services expected from</w:t>
            </w:r>
            <w:r w:rsidR="002E7CF3" w:rsidRPr="00353F81">
              <w:t xml:space="preserve"> July </w:t>
            </w:r>
            <w:r w:rsidR="007D53AE" w:rsidRPr="00353F81">
              <w:t>2025</w:t>
            </w:r>
            <w:r w:rsidR="00BB5AF9" w:rsidRPr="00353F81">
              <w:t>.</w:t>
            </w:r>
          </w:p>
        </w:tc>
        <w:tc>
          <w:tcPr>
            <w:tcW w:w="2977" w:type="dxa"/>
            <w:tcMar>
              <w:left w:w="108" w:type="dxa"/>
            </w:tcMar>
          </w:tcPr>
          <w:p w14:paraId="61A1CEB7" w14:textId="77777777" w:rsidR="00E1528A" w:rsidRDefault="00EF5D93" w:rsidP="00353F81">
            <w:r w:rsidRPr="00353F81">
              <w:t>The Cabinet Office</w:t>
            </w:r>
          </w:p>
          <w:p w14:paraId="6C65803C" w14:textId="03B133B1" w:rsidR="006416F0" w:rsidRPr="00353F81" w:rsidRDefault="00A00F9E" w:rsidP="00E1528A">
            <w:r w:rsidRPr="00353F81">
              <w:t xml:space="preserve">Department of Communities and Justice </w:t>
            </w:r>
          </w:p>
        </w:tc>
        <w:tc>
          <w:tcPr>
            <w:tcW w:w="2517" w:type="dxa"/>
            <w:tcMar>
              <w:left w:w="108" w:type="dxa"/>
            </w:tcMar>
          </w:tcPr>
          <w:p w14:paraId="0CF56EA4" w14:textId="78AA3336" w:rsidR="006416F0" w:rsidRPr="00353F81" w:rsidRDefault="00EF5D93" w:rsidP="000B0446">
            <w:r w:rsidRPr="00353F81">
              <w:t>July 2025</w:t>
            </w:r>
          </w:p>
        </w:tc>
      </w:tr>
      <w:tr w:rsidR="00CA2AFA" w:rsidRPr="00353F81" w14:paraId="610CF920" w14:textId="77777777" w:rsidTr="006247A1">
        <w:tc>
          <w:tcPr>
            <w:tcW w:w="9521" w:type="dxa"/>
            <w:tcMar>
              <w:left w:w="108" w:type="dxa"/>
            </w:tcMar>
          </w:tcPr>
          <w:p w14:paraId="0B11ED76" w14:textId="5E4238A0" w:rsidR="00CA2AFA" w:rsidRPr="00E1528A" w:rsidRDefault="00FE0590" w:rsidP="00CA2AFA">
            <w:pPr>
              <w:rPr>
                <w:b/>
                <w:bCs/>
              </w:rPr>
            </w:pPr>
            <w:r>
              <w:rPr>
                <w:b/>
                <w:bCs/>
              </w:rPr>
              <w:t>2</w:t>
            </w:r>
            <w:r w:rsidR="00F32929">
              <w:rPr>
                <w:b/>
                <w:bCs/>
              </w:rPr>
              <w:t>2</w:t>
            </w:r>
            <w:r>
              <w:rPr>
                <w:b/>
                <w:bCs/>
              </w:rPr>
              <w:t xml:space="preserve">. </w:t>
            </w:r>
            <w:r w:rsidR="00CA2AFA" w:rsidRPr="00E1528A">
              <w:rPr>
                <w:b/>
                <w:bCs/>
              </w:rPr>
              <w:t>Implement the National Disability Data Asset (NDDA)</w:t>
            </w:r>
          </w:p>
          <w:p w14:paraId="0C62A28D" w14:textId="49CF6F34" w:rsidR="00CA2AFA" w:rsidRPr="00353F81" w:rsidRDefault="00CA2AFA" w:rsidP="00CA2AFA">
            <w:pPr>
              <w:rPr>
                <w:b/>
                <w:bCs/>
              </w:rPr>
            </w:pPr>
            <w:r w:rsidRPr="00353F81">
              <w:t>NSW has committed to participating in the NDDA and has signed a Memorandum of Understanding committing NSW to a 10 year agreement for long term support of the NDDA. This includes participation in the NDDA Council to input into the development and evaluation of the NDDA.</w:t>
            </w:r>
          </w:p>
        </w:tc>
        <w:tc>
          <w:tcPr>
            <w:tcW w:w="2977" w:type="dxa"/>
            <w:tcMar>
              <w:left w:w="108" w:type="dxa"/>
            </w:tcMar>
          </w:tcPr>
          <w:p w14:paraId="610085C0" w14:textId="4018B829" w:rsidR="00945EC9" w:rsidRDefault="00CA2AFA" w:rsidP="00CA2AFA">
            <w:r w:rsidRPr="00353F81">
              <w:t xml:space="preserve">Department of Customer Service </w:t>
            </w:r>
          </w:p>
          <w:p w14:paraId="3F02BEA9" w14:textId="2A01702C" w:rsidR="00CA2AFA" w:rsidRPr="00353F81" w:rsidRDefault="00CA2AFA" w:rsidP="00CA2AFA">
            <w:r w:rsidRPr="00353F81">
              <w:t xml:space="preserve">Department of Communities and Justice </w:t>
            </w:r>
          </w:p>
        </w:tc>
        <w:tc>
          <w:tcPr>
            <w:tcW w:w="2517" w:type="dxa"/>
            <w:tcMar>
              <w:left w:w="108" w:type="dxa"/>
            </w:tcMar>
          </w:tcPr>
          <w:p w14:paraId="67591F27" w14:textId="6DE55AAD" w:rsidR="00CA2AFA" w:rsidRPr="00353F81" w:rsidRDefault="00CA2AFA" w:rsidP="00CA2AFA">
            <w:r w:rsidRPr="00353F81">
              <w:t xml:space="preserve">Report on progress due to DRMC in Q3 2024. </w:t>
            </w:r>
          </w:p>
        </w:tc>
      </w:tr>
      <w:tr w:rsidR="008E27B8" w:rsidRPr="00353F81" w14:paraId="73BEDE63" w14:textId="77777777" w:rsidTr="0094190F">
        <w:tc>
          <w:tcPr>
            <w:tcW w:w="9521" w:type="dxa"/>
            <w:shd w:val="clear" w:color="auto" w:fill="CBEDFD" w:themeFill="accent2"/>
            <w:tcMar>
              <w:left w:w="108" w:type="dxa"/>
            </w:tcMar>
          </w:tcPr>
          <w:p w14:paraId="209BBBCC" w14:textId="77777777" w:rsidR="008E27B8" w:rsidRPr="000B0446" w:rsidRDefault="008E27B8" w:rsidP="000B0446">
            <w:r w:rsidRPr="00353F81">
              <w:t>Services that are safe and inclusive</w:t>
            </w:r>
          </w:p>
        </w:tc>
        <w:tc>
          <w:tcPr>
            <w:tcW w:w="2977" w:type="dxa"/>
            <w:shd w:val="clear" w:color="auto" w:fill="CBEDFD" w:themeFill="accent2"/>
          </w:tcPr>
          <w:p w14:paraId="118031F7" w14:textId="77777777" w:rsidR="008E27B8" w:rsidRPr="000B0446" w:rsidRDefault="008E27B8" w:rsidP="000B0446"/>
        </w:tc>
        <w:tc>
          <w:tcPr>
            <w:tcW w:w="2517" w:type="dxa"/>
            <w:shd w:val="clear" w:color="auto" w:fill="CBEDFD" w:themeFill="accent2"/>
          </w:tcPr>
          <w:p w14:paraId="2B04D728" w14:textId="08618799" w:rsidR="008E27B8" w:rsidRPr="000B0446" w:rsidRDefault="008E27B8" w:rsidP="000B0446"/>
        </w:tc>
      </w:tr>
      <w:tr w:rsidR="00CB1794" w:rsidRPr="00353F81" w14:paraId="0C7CF762" w14:textId="77777777" w:rsidTr="006247A1">
        <w:tc>
          <w:tcPr>
            <w:tcW w:w="9521" w:type="dxa"/>
            <w:tcMar>
              <w:left w:w="108" w:type="dxa"/>
            </w:tcMar>
          </w:tcPr>
          <w:p w14:paraId="3A3D5C60" w14:textId="1F315243" w:rsidR="00CB1794" w:rsidRPr="00353F81" w:rsidRDefault="00FE0590" w:rsidP="000B0446">
            <w:pPr>
              <w:rPr>
                <w:b/>
                <w:bCs/>
              </w:rPr>
            </w:pPr>
            <w:r>
              <w:rPr>
                <w:b/>
                <w:bCs/>
              </w:rPr>
              <w:t>2</w:t>
            </w:r>
            <w:r w:rsidR="00F32929">
              <w:rPr>
                <w:b/>
                <w:bCs/>
              </w:rPr>
              <w:t>3</w:t>
            </w:r>
            <w:r>
              <w:rPr>
                <w:b/>
                <w:bCs/>
              </w:rPr>
              <w:t xml:space="preserve">. </w:t>
            </w:r>
            <w:r w:rsidR="00CB1794" w:rsidRPr="00353F81">
              <w:rPr>
                <w:b/>
                <w:bCs/>
              </w:rPr>
              <w:t>Revise home modification and alteration policies in consultation with the disability sector and peak bodies, with new policies expected to begin in late 2024</w:t>
            </w:r>
          </w:p>
          <w:p w14:paraId="2637A223" w14:textId="665B3F8A" w:rsidR="00CB1794" w:rsidRPr="00353F81" w:rsidRDefault="00CB1794" w:rsidP="000B0446">
            <w:r w:rsidRPr="00353F81">
              <w:lastRenderedPageBreak/>
              <w:t xml:space="preserve">Homes NSW is working to improve its social housing policy and processes to make them more accessible and inclusive for people with disability and anticipates they will be implemented in late 2024. </w:t>
            </w:r>
            <w:r w:rsidR="005137FC" w:rsidRPr="005137FC">
              <w:t>All Housing Services and Housing Portfolio policies, processes and procedures related to social housing tenants’ applications for homes modifications, assessment and completion of these works, pathways for alternative solutions (e.g. where a property may not be suitable for modification), and the appeals process form part of the review scope.</w:t>
            </w:r>
          </w:p>
        </w:tc>
        <w:tc>
          <w:tcPr>
            <w:tcW w:w="2977" w:type="dxa"/>
            <w:tcMar>
              <w:left w:w="108" w:type="dxa"/>
            </w:tcMar>
          </w:tcPr>
          <w:p w14:paraId="3F53D256" w14:textId="7658C445" w:rsidR="00CB1794" w:rsidRPr="00353F81" w:rsidRDefault="002E6327" w:rsidP="000B0446">
            <w:r w:rsidRPr="00353F81">
              <w:lastRenderedPageBreak/>
              <w:t xml:space="preserve">Department of Communities and Justice </w:t>
            </w:r>
            <w:r>
              <w:t>(</w:t>
            </w:r>
            <w:r w:rsidR="00CB1794" w:rsidRPr="00353F81">
              <w:t>Homes NSW</w:t>
            </w:r>
            <w:r>
              <w:t>)</w:t>
            </w:r>
          </w:p>
        </w:tc>
        <w:tc>
          <w:tcPr>
            <w:tcW w:w="2517" w:type="dxa"/>
            <w:tcMar>
              <w:left w:w="108" w:type="dxa"/>
            </w:tcMar>
          </w:tcPr>
          <w:p w14:paraId="0DB8FADF" w14:textId="56E65C3C" w:rsidR="009B1B2E" w:rsidRPr="00253379" w:rsidRDefault="00CB1794" w:rsidP="000B0446">
            <w:r w:rsidRPr="00253379">
              <w:t>End of 2024</w:t>
            </w:r>
          </w:p>
        </w:tc>
      </w:tr>
      <w:tr w:rsidR="00CB1794" w:rsidRPr="00353F81" w14:paraId="5F5CFED2" w14:textId="77777777" w:rsidTr="006247A1">
        <w:tc>
          <w:tcPr>
            <w:tcW w:w="9521" w:type="dxa"/>
            <w:tcMar>
              <w:left w:w="108" w:type="dxa"/>
            </w:tcMar>
          </w:tcPr>
          <w:p w14:paraId="5F47A424" w14:textId="6B5DC4F4" w:rsidR="00CB1794" w:rsidRPr="00353F81" w:rsidRDefault="00FE0590" w:rsidP="000B0446">
            <w:r>
              <w:rPr>
                <w:b/>
                <w:bCs/>
              </w:rPr>
              <w:t>2</w:t>
            </w:r>
            <w:r w:rsidR="00F32929">
              <w:rPr>
                <w:b/>
                <w:bCs/>
              </w:rPr>
              <w:t>4</w:t>
            </w:r>
            <w:r>
              <w:rPr>
                <w:b/>
                <w:bCs/>
              </w:rPr>
              <w:t xml:space="preserve">. </w:t>
            </w:r>
            <w:r w:rsidR="002B64C2" w:rsidRPr="002B64C2">
              <w:rPr>
                <w:b/>
                <w:bCs/>
              </w:rPr>
              <w:t>Consider specific elements of the recommendations relating to Assisted Boarding Houses as part of the development of future legislation</w:t>
            </w:r>
            <w:r w:rsidR="008324EE" w:rsidRPr="000B0446">
              <w:br/>
            </w:r>
            <w:r w:rsidR="008324EE" w:rsidRPr="000B0446">
              <w:br/>
              <w:t xml:space="preserve">A statutory review of the </w:t>
            </w:r>
            <w:r w:rsidR="008324EE" w:rsidRPr="006247A1">
              <w:rPr>
                <w:i/>
                <w:iCs/>
              </w:rPr>
              <w:t>Boarding Houses Act 2012</w:t>
            </w:r>
            <w:r w:rsidR="008324EE" w:rsidRPr="000B0446">
              <w:t xml:space="preserve"> has been completed.  </w:t>
            </w:r>
            <w:r w:rsidR="002B64C2" w:rsidRPr="002B64C2">
              <w:t>The NSW Government will work with key stakeholders to ensure the recommendations, as they relate to assisted boarding houses, are fully considered as part of the development of new legislation.</w:t>
            </w:r>
          </w:p>
        </w:tc>
        <w:tc>
          <w:tcPr>
            <w:tcW w:w="2977" w:type="dxa"/>
            <w:tcMar>
              <w:left w:w="108" w:type="dxa"/>
            </w:tcMar>
          </w:tcPr>
          <w:p w14:paraId="5A70D29E" w14:textId="46BA3F8B" w:rsidR="00CB1794" w:rsidRPr="00353F81" w:rsidRDefault="002E6327" w:rsidP="000B0446">
            <w:r w:rsidRPr="00353F81">
              <w:t xml:space="preserve">Department of Communities and Justice </w:t>
            </w:r>
            <w:r>
              <w:t>(</w:t>
            </w:r>
            <w:r w:rsidRPr="00353F81">
              <w:t>Homes NSW</w:t>
            </w:r>
            <w:r>
              <w:t>)</w:t>
            </w:r>
          </w:p>
        </w:tc>
        <w:tc>
          <w:tcPr>
            <w:tcW w:w="2517" w:type="dxa"/>
            <w:tcMar>
              <w:left w:w="108" w:type="dxa"/>
            </w:tcMar>
          </w:tcPr>
          <w:p w14:paraId="0DFDAD24" w14:textId="38DEA200" w:rsidR="00F91969" w:rsidRPr="00253379" w:rsidRDefault="002B64C2" w:rsidP="000B0446">
            <w:r w:rsidRPr="00253379">
              <w:t>June 2025</w:t>
            </w:r>
          </w:p>
          <w:p w14:paraId="354CD390" w14:textId="5DC1714D" w:rsidR="00F91969" w:rsidRPr="00253379" w:rsidRDefault="00F91969" w:rsidP="000B0446"/>
        </w:tc>
      </w:tr>
      <w:tr w:rsidR="00CB1794" w:rsidRPr="00353F81" w14:paraId="1B1CC5A7" w14:textId="77777777" w:rsidTr="006247A1">
        <w:tc>
          <w:tcPr>
            <w:tcW w:w="9521" w:type="dxa"/>
            <w:tcMar>
              <w:left w:w="108" w:type="dxa"/>
            </w:tcMar>
          </w:tcPr>
          <w:p w14:paraId="158646C3" w14:textId="166C0C0D" w:rsidR="00CB1794" w:rsidRPr="00353F81" w:rsidRDefault="00D94832" w:rsidP="000B0446">
            <w:pPr>
              <w:rPr>
                <w:b/>
                <w:bCs/>
              </w:rPr>
            </w:pPr>
            <w:r>
              <w:rPr>
                <w:b/>
                <w:bCs/>
              </w:rPr>
              <w:t>2</w:t>
            </w:r>
            <w:r w:rsidR="00F32929">
              <w:rPr>
                <w:b/>
                <w:bCs/>
              </w:rPr>
              <w:t>5</w:t>
            </w:r>
            <w:r>
              <w:rPr>
                <w:b/>
                <w:bCs/>
              </w:rPr>
              <w:t xml:space="preserve">. </w:t>
            </w:r>
            <w:r w:rsidR="00CB1794" w:rsidRPr="00353F81">
              <w:rPr>
                <w:b/>
                <w:bCs/>
              </w:rPr>
              <w:t>Work with other governments to make sure the healthcare needs of people with disability are considered in national health policies and develop a national health navigation framework</w:t>
            </w:r>
          </w:p>
          <w:p w14:paraId="5B5557D7" w14:textId="77777777" w:rsidR="00CB1794" w:rsidRPr="00353F81" w:rsidRDefault="00CB1794" w:rsidP="000B0446">
            <w:r w:rsidRPr="00353F81">
              <w:t xml:space="preserve">The Australian Government, through the Australian Commission on Safety and Quality in Health Care will provide a plan and timeline to update key policy instruments to ensure they articulate the requirements for safe and equitable access to health services for people with disability. NSW will work with the Australian Government on this plan. </w:t>
            </w:r>
          </w:p>
          <w:p w14:paraId="5C68218C" w14:textId="3140A37B" w:rsidR="0094190F" w:rsidRPr="00353F81" w:rsidRDefault="00CB1794" w:rsidP="000B0446">
            <w:r w:rsidRPr="00353F81">
              <w:t xml:space="preserve">Scoping of disability health navigation will be required to identify what is currently available, what is working well, what gaps or missing elements in the support system need to be addressed. </w:t>
            </w:r>
          </w:p>
        </w:tc>
        <w:tc>
          <w:tcPr>
            <w:tcW w:w="2977" w:type="dxa"/>
            <w:tcMar>
              <w:left w:w="108" w:type="dxa"/>
            </w:tcMar>
          </w:tcPr>
          <w:p w14:paraId="21DBCD6E" w14:textId="4FE19D14" w:rsidR="00CB1794" w:rsidRPr="00353F81" w:rsidRDefault="00CB1794" w:rsidP="000B0446">
            <w:r w:rsidRPr="00353F81">
              <w:t>NSW Health</w:t>
            </w:r>
          </w:p>
        </w:tc>
        <w:tc>
          <w:tcPr>
            <w:tcW w:w="2517" w:type="dxa"/>
            <w:tcMar>
              <w:left w:w="108" w:type="dxa"/>
            </w:tcMar>
          </w:tcPr>
          <w:p w14:paraId="495544C7" w14:textId="6E27DC1A" w:rsidR="00CB1794" w:rsidRPr="00353F81" w:rsidRDefault="00FF649C" w:rsidP="000B0446">
            <w:pPr>
              <w:rPr>
                <w:highlight w:val="yellow"/>
              </w:rPr>
            </w:pPr>
            <w:r w:rsidRPr="0069617D">
              <w:t>2025</w:t>
            </w:r>
          </w:p>
          <w:p w14:paraId="0864B913" w14:textId="7D9DF564" w:rsidR="00F91969" w:rsidRPr="00353F81" w:rsidRDefault="00F91969" w:rsidP="00253379">
            <w:pPr>
              <w:rPr>
                <w:highlight w:val="yellow"/>
              </w:rPr>
            </w:pPr>
          </w:p>
        </w:tc>
      </w:tr>
      <w:tr w:rsidR="00CB1794" w:rsidRPr="00353F81" w14:paraId="3F6AD3FC" w14:textId="77777777" w:rsidTr="006247A1">
        <w:tc>
          <w:tcPr>
            <w:tcW w:w="9521" w:type="dxa"/>
            <w:tcMar>
              <w:left w:w="108" w:type="dxa"/>
            </w:tcMar>
          </w:tcPr>
          <w:p w14:paraId="4B55251F" w14:textId="7134BF41" w:rsidR="00CB1794" w:rsidRPr="00353F81" w:rsidRDefault="00D94832" w:rsidP="00353F81">
            <w:pPr>
              <w:rPr>
                <w:b/>
                <w:bCs/>
              </w:rPr>
            </w:pPr>
            <w:r>
              <w:rPr>
                <w:b/>
                <w:bCs/>
              </w:rPr>
              <w:t>2</w:t>
            </w:r>
            <w:r w:rsidR="00F32929">
              <w:rPr>
                <w:b/>
                <w:bCs/>
              </w:rPr>
              <w:t>6</w:t>
            </w:r>
            <w:r>
              <w:rPr>
                <w:b/>
                <w:bCs/>
              </w:rPr>
              <w:t xml:space="preserve">. </w:t>
            </w:r>
            <w:r w:rsidR="00CB1794" w:rsidRPr="00353F81">
              <w:rPr>
                <w:b/>
                <w:bCs/>
              </w:rPr>
              <w:t>Evaluate our Intellectual Disability Health Service</w:t>
            </w:r>
          </w:p>
          <w:p w14:paraId="11806C8C" w14:textId="1C7DEDC8" w:rsidR="00CB1794" w:rsidRPr="00353F81" w:rsidRDefault="00CB1794" w:rsidP="000B0446">
            <w:r w:rsidRPr="00353F81">
              <w:t>An independent evaluation of the NSW Intellectual Disability Health Service has been commissioned, with a final report expected by June 2025.</w:t>
            </w:r>
          </w:p>
        </w:tc>
        <w:tc>
          <w:tcPr>
            <w:tcW w:w="2977" w:type="dxa"/>
            <w:tcMar>
              <w:left w:w="108" w:type="dxa"/>
            </w:tcMar>
          </w:tcPr>
          <w:p w14:paraId="06D0F9B3" w14:textId="2617CB21" w:rsidR="00CB1794" w:rsidRPr="00353F81" w:rsidRDefault="00CB1794" w:rsidP="000B0446">
            <w:r w:rsidRPr="00353F81">
              <w:t>NSW Health</w:t>
            </w:r>
          </w:p>
        </w:tc>
        <w:tc>
          <w:tcPr>
            <w:tcW w:w="2517" w:type="dxa"/>
            <w:tcMar>
              <w:left w:w="108" w:type="dxa"/>
            </w:tcMar>
          </w:tcPr>
          <w:p w14:paraId="1A07FC68" w14:textId="772DF3F0" w:rsidR="00CB1794" w:rsidRPr="00353F81" w:rsidRDefault="000B7434" w:rsidP="000B0446">
            <w:pPr>
              <w:rPr>
                <w:highlight w:val="yellow"/>
              </w:rPr>
            </w:pPr>
            <w:r w:rsidRPr="000B7434">
              <w:t>End of 2025</w:t>
            </w:r>
          </w:p>
        </w:tc>
      </w:tr>
      <w:tr w:rsidR="001D7BCE" w:rsidRPr="00353F81" w14:paraId="2D71C822" w14:textId="77777777" w:rsidTr="006247A1">
        <w:tc>
          <w:tcPr>
            <w:tcW w:w="9521" w:type="dxa"/>
            <w:tcMar>
              <w:left w:w="108" w:type="dxa"/>
            </w:tcMar>
          </w:tcPr>
          <w:p w14:paraId="3276A5FF" w14:textId="266E2929" w:rsidR="001D7BCE" w:rsidRPr="00253379" w:rsidRDefault="001D7BCE" w:rsidP="001D7BCE">
            <w:pPr>
              <w:rPr>
                <w:b/>
                <w:bCs/>
              </w:rPr>
            </w:pPr>
            <w:r w:rsidRPr="00253379">
              <w:rPr>
                <w:b/>
                <w:bCs/>
              </w:rPr>
              <w:t>2</w:t>
            </w:r>
            <w:r w:rsidR="00F32929">
              <w:rPr>
                <w:b/>
                <w:bCs/>
              </w:rPr>
              <w:t>7</w:t>
            </w:r>
            <w:r w:rsidRPr="00253379">
              <w:rPr>
                <w:b/>
                <w:bCs/>
              </w:rPr>
              <w:t xml:space="preserve">. Work with </w:t>
            </w:r>
            <w:r w:rsidR="00253379">
              <w:rPr>
                <w:b/>
                <w:bCs/>
              </w:rPr>
              <w:t xml:space="preserve">other governments </w:t>
            </w:r>
            <w:r w:rsidRPr="00253379">
              <w:rPr>
                <w:b/>
                <w:bCs/>
              </w:rPr>
              <w:t>to develop a ‘National Roadmap to Inclusive Education’ for students with disability</w:t>
            </w:r>
          </w:p>
          <w:p w14:paraId="56A9DF69" w14:textId="0CCAE84E" w:rsidR="001D7BCE" w:rsidRPr="00353F81" w:rsidDel="00D67B9E" w:rsidRDefault="001D7BCE" w:rsidP="001D7BCE">
            <w:r w:rsidRPr="00253379">
              <w:lastRenderedPageBreak/>
              <w:t>The roadmap will serve as a comprehensive guide outlining outcome measures, targets, actions, and milestones necessary for delivering on the Royal Commission's recommendations for inclusive education. This commitment to transparency and accountability is essential in fostering an inclusive education system that prioritises the needs of all students.</w:t>
            </w:r>
          </w:p>
        </w:tc>
        <w:tc>
          <w:tcPr>
            <w:tcW w:w="2977" w:type="dxa"/>
            <w:tcMar>
              <w:left w:w="108" w:type="dxa"/>
            </w:tcMar>
          </w:tcPr>
          <w:p w14:paraId="4DECA9D8" w14:textId="15E0C1A7" w:rsidR="001D7BCE" w:rsidRPr="00353F81" w:rsidDel="00D67B9E" w:rsidRDefault="001D7BCE" w:rsidP="001D7BCE">
            <w:r>
              <w:lastRenderedPageBreak/>
              <w:t xml:space="preserve">NSW </w:t>
            </w:r>
            <w:r w:rsidRPr="00353F81">
              <w:t xml:space="preserve">Department of Education </w:t>
            </w:r>
          </w:p>
        </w:tc>
        <w:tc>
          <w:tcPr>
            <w:tcW w:w="2517" w:type="dxa"/>
            <w:tcMar>
              <w:left w:w="108" w:type="dxa"/>
            </w:tcMar>
          </w:tcPr>
          <w:p w14:paraId="0B3C9020" w14:textId="30299205" w:rsidR="001D7BCE" w:rsidRPr="00353F81" w:rsidDel="00D67B9E" w:rsidRDefault="001D7BCE" w:rsidP="001D7BCE">
            <w:pPr>
              <w:rPr>
                <w:highlight w:val="yellow"/>
              </w:rPr>
            </w:pPr>
            <w:r w:rsidRPr="00353F81">
              <w:t xml:space="preserve">End of 2024 </w:t>
            </w:r>
          </w:p>
        </w:tc>
      </w:tr>
      <w:tr w:rsidR="001D7BCE" w:rsidRPr="00353F81" w14:paraId="256F1B3E" w14:textId="77777777" w:rsidTr="006247A1">
        <w:tc>
          <w:tcPr>
            <w:tcW w:w="9521" w:type="dxa"/>
            <w:tcMar>
              <w:left w:w="108" w:type="dxa"/>
            </w:tcMar>
          </w:tcPr>
          <w:p w14:paraId="5BE971C9" w14:textId="3E1BE171" w:rsidR="001D7BCE" w:rsidRPr="00353F81" w:rsidRDefault="001D7BCE" w:rsidP="001D7BCE">
            <w:pPr>
              <w:rPr>
                <w:b/>
                <w:bCs/>
              </w:rPr>
            </w:pPr>
            <w:r>
              <w:rPr>
                <w:b/>
                <w:bCs/>
              </w:rPr>
              <w:t>2</w:t>
            </w:r>
            <w:r w:rsidR="00F32929">
              <w:rPr>
                <w:b/>
                <w:bCs/>
              </w:rPr>
              <w:t>8</w:t>
            </w:r>
            <w:r>
              <w:rPr>
                <w:b/>
                <w:bCs/>
              </w:rPr>
              <w:t xml:space="preserve">. </w:t>
            </w:r>
            <w:r w:rsidRPr="00353F81">
              <w:rPr>
                <w:b/>
                <w:bCs/>
              </w:rPr>
              <w:t>Continue to embed inclusive education principles in all NSW public schools</w:t>
            </w:r>
            <w:r w:rsidR="00D260B5">
              <w:rPr>
                <w:b/>
                <w:bCs/>
              </w:rPr>
              <w:t xml:space="preserve"> </w:t>
            </w:r>
            <w:r w:rsidR="00D260B5" w:rsidRPr="00D260B5">
              <w:rPr>
                <w:b/>
                <w:bCs/>
              </w:rPr>
              <w:t>guided by the Inclusive Education Statement for Students with Disability and with support from the Inclusive Education Unit</w:t>
            </w:r>
          </w:p>
          <w:p w14:paraId="4B66A957" w14:textId="69C81C7A" w:rsidR="001D7BCE" w:rsidRPr="00353F81" w:rsidRDefault="001D7BCE" w:rsidP="001D7BCE">
            <w:r w:rsidRPr="00353F81">
              <w:t>The NSW Department of Education is committed to growing inclusive practice, sharing knowledge across the system, and building the capacity of our NSW public schools to meet the needs of their local students in an inclusive school culture and community.</w:t>
            </w:r>
          </w:p>
          <w:p w14:paraId="3C7B41B4" w14:textId="77777777" w:rsidR="001D7BCE" w:rsidRPr="00353F81" w:rsidRDefault="001D7BCE" w:rsidP="001D7BCE">
            <w:r w:rsidRPr="00353F81">
              <w:t xml:space="preserve">The department’s established Inclusive Education unit functions to: provide advice on policy and funding priorities; provide implementation advice to schools and teachers; and develop evidence-based inclusive practice resources.   </w:t>
            </w:r>
          </w:p>
          <w:p w14:paraId="5F3E7754" w14:textId="1AD5D22B" w:rsidR="001D7BCE" w:rsidRPr="00353F81" w:rsidRDefault="001D7BCE" w:rsidP="001D7BCE">
            <w:r w:rsidRPr="00353F81">
              <w:t xml:space="preserve">Schools Infrastructure NSW’s Design and Infrastructure Standards team aims to ensure that educational facilities are designed and maintained to support inclusive practices. This includes adhering to the principles of inclusive practice for students with disability, improving the accessibility of physical school environments, and providing necessary resources and support structures. </w:t>
            </w:r>
          </w:p>
        </w:tc>
        <w:tc>
          <w:tcPr>
            <w:tcW w:w="2977" w:type="dxa"/>
            <w:tcMar>
              <w:left w:w="108" w:type="dxa"/>
            </w:tcMar>
          </w:tcPr>
          <w:p w14:paraId="7A74CA4C" w14:textId="265E0A0E" w:rsidR="001D7BCE" w:rsidRPr="00353F81" w:rsidRDefault="001D7BCE" w:rsidP="001D7BCE">
            <w:r>
              <w:t xml:space="preserve">NSW </w:t>
            </w:r>
            <w:r w:rsidRPr="00353F81">
              <w:t xml:space="preserve">Department of Education </w:t>
            </w:r>
          </w:p>
        </w:tc>
        <w:tc>
          <w:tcPr>
            <w:tcW w:w="2517" w:type="dxa"/>
            <w:tcMar>
              <w:left w:w="108" w:type="dxa"/>
            </w:tcMar>
          </w:tcPr>
          <w:p w14:paraId="6D81BE51" w14:textId="03DC2950" w:rsidR="001D7BCE" w:rsidRPr="00353F81" w:rsidRDefault="002E6327" w:rsidP="001D7BCE">
            <w:pPr>
              <w:rPr>
                <w:highlight w:val="yellow"/>
              </w:rPr>
            </w:pPr>
            <w:r>
              <w:t xml:space="preserve">Ongoing </w:t>
            </w:r>
          </w:p>
        </w:tc>
      </w:tr>
      <w:tr w:rsidR="001D7BCE" w:rsidRPr="00353F81" w14:paraId="18B489B0" w14:textId="77777777" w:rsidTr="006247A1">
        <w:tc>
          <w:tcPr>
            <w:tcW w:w="9521" w:type="dxa"/>
            <w:tcMar>
              <w:left w:w="108" w:type="dxa"/>
            </w:tcMar>
          </w:tcPr>
          <w:p w14:paraId="5BE8DCC8" w14:textId="7ADFA20E" w:rsidR="001D7BCE" w:rsidRPr="00353F81" w:rsidRDefault="00F32929" w:rsidP="001D7BCE">
            <w:pPr>
              <w:rPr>
                <w:b/>
                <w:bCs/>
              </w:rPr>
            </w:pPr>
            <w:r>
              <w:rPr>
                <w:b/>
                <w:bCs/>
              </w:rPr>
              <w:t>29</w:t>
            </w:r>
            <w:r w:rsidR="001D7BCE">
              <w:rPr>
                <w:b/>
                <w:bCs/>
              </w:rPr>
              <w:t xml:space="preserve">. </w:t>
            </w:r>
            <w:r w:rsidR="001D7BCE" w:rsidRPr="00353F81">
              <w:rPr>
                <w:b/>
                <w:bCs/>
              </w:rPr>
              <w:t>Consider the capital investment needs for educational infrastructure arising from the Royal Commission’s recommendations.</w:t>
            </w:r>
          </w:p>
          <w:p w14:paraId="50311AF6" w14:textId="0F6AC5D7" w:rsidR="001D7BCE" w:rsidRPr="00353F81" w:rsidRDefault="001D7BCE" w:rsidP="001D7BCE">
            <w:r w:rsidRPr="00353F81">
              <w:t>This includes undertaking a process of funding prioritisation for infrastructure decisions, such as the co-location or relocation of non-mainstream schools within NSW. This process will carefully evaluate factors like land availability due to the complexity involved. Any plans for co-location must ensure meaningful integration and seamless operation.</w:t>
            </w:r>
          </w:p>
        </w:tc>
        <w:tc>
          <w:tcPr>
            <w:tcW w:w="2977" w:type="dxa"/>
            <w:tcMar>
              <w:left w:w="108" w:type="dxa"/>
            </w:tcMar>
          </w:tcPr>
          <w:p w14:paraId="06E41ECC" w14:textId="4B9E9826" w:rsidR="001D7BCE" w:rsidRPr="00353F81" w:rsidRDefault="001D7BCE" w:rsidP="001D7BCE">
            <w:r>
              <w:t xml:space="preserve">NSW </w:t>
            </w:r>
            <w:r w:rsidRPr="00353F81">
              <w:t xml:space="preserve">Department of Education </w:t>
            </w:r>
          </w:p>
        </w:tc>
        <w:tc>
          <w:tcPr>
            <w:tcW w:w="2517" w:type="dxa"/>
            <w:tcMar>
              <w:left w:w="108" w:type="dxa"/>
            </w:tcMar>
          </w:tcPr>
          <w:p w14:paraId="787E19E6" w14:textId="0EBAC688" w:rsidR="001D7BCE" w:rsidRPr="00353F81" w:rsidRDefault="001D7BCE" w:rsidP="001D7BCE">
            <w:pPr>
              <w:rPr>
                <w:highlight w:val="yellow"/>
              </w:rPr>
            </w:pPr>
            <w:r w:rsidRPr="00353F81">
              <w:t>2025</w:t>
            </w:r>
          </w:p>
        </w:tc>
      </w:tr>
      <w:tr w:rsidR="001D7BCE" w:rsidRPr="00353F81" w14:paraId="05167F1B" w14:textId="77777777" w:rsidTr="006247A1">
        <w:tc>
          <w:tcPr>
            <w:tcW w:w="9521" w:type="dxa"/>
            <w:tcMar>
              <w:left w:w="108" w:type="dxa"/>
            </w:tcMar>
          </w:tcPr>
          <w:p w14:paraId="6D234F23" w14:textId="21125D44" w:rsidR="001D7BCE" w:rsidRPr="00353F81" w:rsidRDefault="001D7BCE" w:rsidP="001D7BCE">
            <w:pPr>
              <w:rPr>
                <w:b/>
                <w:bCs/>
              </w:rPr>
            </w:pPr>
            <w:r>
              <w:rPr>
                <w:b/>
                <w:bCs/>
              </w:rPr>
              <w:t>3</w:t>
            </w:r>
            <w:r w:rsidR="00F32929">
              <w:rPr>
                <w:b/>
                <w:bCs/>
              </w:rPr>
              <w:t>0</w:t>
            </w:r>
            <w:r>
              <w:rPr>
                <w:b/>
                <w:bCs/>
              </w:rPr>
              <w:t xml:space="preserve">. </w:t>
            </w:r>
            <w:r w:rsidRPr="00353F81">
              <w:rPr>
                <w:b/>
                <w:bCs/>
              </w:rPr>
              <w:t>Review the NSW Department of Education’s enrolment policy, including the obligations of schools relating to applications to attend a local school as well as enrolment review processes</w:t>
            </w:r>
          </w:p>
          <w:p w14:paraId="7E9FE866" w14:textId="3C1FDE36" w:rsidR="001D7BCE" w:rsidRPr="00353F81" w:rsidRDefault="001D7BCE" w:rsidP="001D7BCE">
            <w:r w:rsidRPr="0075017F">
              <w:lastRenderedPageBreak/>
              <w:t>The</w:t>
            </w:r>
            <w:r w:rsidRPr="006247A1">
              <w:rPr>
                <w:i/>
                <w:iCs/>
              </w:rPr>
              <w:t xml:space="preserve"> Education Act 1990 </w:t>
            </w:r>
            <w:r w:rsidRPr="0075017F">
              <w:t>(NSW)</w:t>
            </w:r>
            <w:r w:rsidRPr="00353F81">
              <w:t xml:space="preserve"> includes the legal entitlement for students with disability to enrol in their local mainstream schools. </w:t>
            </w:r>
          </w:p>
          <w:p w14:paraId="45C37027" w14:textId="7DDC1176" w:rsidR="001D7BCE" w:rsidRPr="00353F81" w:rsidRDefault="001D7BCE" w:rsidP="001D7BCE">
            <w:r w:rsidRPr="00353F81">
              <w:t>The NSW Department of Education is also committed to providing and disseminating, clear and accessible material for students with disability and their families on their rights.</w:t>
            </w:r>
          </w:p>
        </w:tc>
        <w:tc>
          <w:tcPr>
            <w:tcW w:w="2977" w:type="dxa"/>
            <w:tcMar>
              <w:left w:w="108" w:type="dxa"/>
            </w:tcMar>
          </w:tcPr>
          <w:p w14:paraId="75B2618E" w14:textId="64993DFA" w:rsidR="001D7BCE" w:rsidRPr="00253379" w:rsidRDefault="001D7BCE" w:rsidP="001D7BCE">
            <w:r w:rsidRPr="00253379">
              <w:lastRenderedPageBreak/>
              <w:t xml:space="preserve">NSW Department of Education </w:t>
            </w:r>
          </w:p>
        </w:tc>
        <w:tc>
          <w:tcPr>
            <w:tcW w:w="2517" w:type="dxa"/>
            <w:tcMar>
              <w:left w:w="108" w:type="dxa"/>
            </w:tcMar>
          </w:tcPr>
          <w:p w14:paraId="5755792C" w14:textId="72949D75" w:rsidR="001D7BCE" w:rsidRPr="00253379" w:rsidRDefault="001D7BCE" w:rsidP="001D7BCE">
            <w:r w:rsidRPr="00253379">
              <w:t xml:space="preserve"> 2025</w:t>
            </w:r>
          </w:p>
        </w:tc>
      </w:tr>
      <w:tr w:rsidR="001D7BCE" w:rsidRPr="00353F81" w14:paraId="3DD46A22" w14:textId="77777777" w:rsidTr="006247A1">
        <w:tc>
          <w:tcPr>
            <w:tcW w:w="9521" w:type="dxa"/>
            <w:tcMar>
              <w:left w:w="108" w:type="dxa"/>
            </w:tcMar>
          </w:tcPr>
          <w:p w14:paraId="07CD6DB9" w14:textId="46979299" w:rsidR="001D7BCE" w:rsidRPr="00353F81" w:rsidRDefault="001D7BCE" w:rsidP="001D7BCE">
            <w:pPr>
              <w:rPr>
                <w:b/>
                <w:bCs/>
              </w:rPr>
            </w:pPr>
            <w:r>
              <w:rPr>
                <w:b/>
                <w:bCs/>
              </w:rPr>
              <w:t>3</w:t>
            </w:r>
            <w:r w:rsidR="00F32929">
              <w:rPr>
                <w:b/>
                <w:bCs/>
              </w:rPr>
              <w:t>1</w:t>
            </w:r>
            <w:r>
              <w:rPr>
                <w:b/>
                <w:bCs/>
              </w:rPr>
              <w:t xml:space="preserve">. </w:t>
            </w:r>
            <w:r w:rsidRPr="00353F81">
              <w:rPr>
                <w:b/>
                <w:bCs/>
              </w:rPr>
              <w:t>Consider amendments to school registration requirements and regulatory oversights to improve the safety, inclusivity and quality of education for students with disability</w:t>
            </w:r>
          </w:p>
          <w:p w14:paraId="6EF70A67" w14:textId="77777777" w:rsidR="001D7BCE" w:rsidRPr="00353F81" w:rsidRDefault="001D7BCE" w:rsidP="001D7BCE">
            <w:r w:rsidRPr="00353F81">
              <w:t>The NSW Government supports in principle, any amendments to the school registration requirements and regulatory oversight which aims to improve the safety, inclusivity and quality of education for students with disability.</w:t>
            </w:r>
          </w:p>
          <w:p w14:paraId="0DC2464A" w14:textId="1656F41A" w:rsidR="001D7BCE" w:rsidRPr="00353F81" w:rsidRDefault="001D7BCE" w:rsidP="001D7BCE">
            <w:r w:rsidRPr="0075017F">
              <w:t>The NSW</w:t>
            </w:r>
            <w:r w:rsidRPr="006247A1">
              <w:rPr>
                <w:i/>
                <w:iCs/>
              </w:rPr>
              <w:t xml:space="preserve"> Education Act 1990 </w:t>
            </w:r>
            <w:r w:rsidRPr="00353F81">
              <w:t>and NSW school registration requirements currently require all schools to provide a safe and supportive environment for students.</w:t>
            </w:r>
          </w:p>
        </w:tc>
        <w:tc>
          <w:tcPr>
            <w:tcW w:w="2977" w:type="dxa"/>
            <w:tcMar>
              <w:left w:w="108" w:type="dxa"/>
            </w:tcMar>
          </w:tcPr>
          <w:p w14:paraId="710F37C2" w14:textId="3078ACAA" w:rsidR="001D7BCE" w:rsidRPr="00353F81" w:rsidRDefault="001D7BCE" w:rsidP="001D7BCE">
            <w:r w:rsidRPr="00353F81">
              <w:t>NSW Education Standards Authority</w:t>
            </w:r>
          </w:p>
        </w:tc>
        <w:tc>
          <w:tcPr>
            <w:tcW w:w="2517" w:type="dxa"/>
            <w:tcMar>
              <w:left w:w="108" w:type="dxa"/>
            </w:tcMar>
          </w:tcPr>
          <w:p w14:paraId="6FDAF420" w14:textId="35103DDC" w:rsidR="001D7BCE" w:rsidRPr="00353F81" w:rsidRDefault="00250A1F" w:rsidP="001D7BCE">
            <w:pPr>
              <w:rPr>
                <w:highlight w:val="yellow"/>
              </w:rPr>
            </w:pPr>
            <w:r w:rsidRPr="00253379">
              <w:t>2025</w:t>
            </w:r>
          </w:p>
        </w:tc>
      </w:tr>
      <w:tr w:rsidR="001D7BCE" w:rsidRPr="00353F81" w14:paraId="13D8692F" w14:textId="77777777" w:rsidTr="006247A1">
        <w:tc>
          <w:tcPr>
            <w:tcW w:w="9521" w:type="dxa"/>
            <w:tcMar>
              <w:left w:w="108" w:type="dxa"/>
            </w:tcMar>
          </w:tcPr>
          <w:p w14:paraId="689C6468" w14:textId="0B51CCCD" w:rsidR="001D7BCE" w:rsidRPr="00253379" w:rsidRDefault="001D7BCE" w:rsidP="001D7BCE">
            <w:pPr>
              <w:rPr>
                <w:b/>
                <w:bCs/>
              </w:rPr>
            </w:pPr>
            <w:r w:rsidRPr="00253379">
              <w:rPr>
                <w:b/>
                <w:bCs/>
              </w:rPr>
              <w:t>3</w:t>
            </w:r>
            <w:r w:rsidR="00F32929">
              <w:rPr>
                <w:b/>
                <w:bCs/>
              </w:rPr>
              <w:t>2</w:t>
            </w:r>
            <w:r w:rsidRPr="00253379">
              <w:rPr>
                <w:b/>
                <w:bCs/>
              </w:rPr>
              <w:t>. Consult with partners and stakeholders, including students, parents and carers, teachers and community members about actions to continue delivering resources and advice to schools and teachers about implementing inclusive education</w:t>
            </w:r>
          </w:p>
          <w:p w14:paraId="52C4E4D0" w14:textId="77777777" w:rsidR="001D7BCE" w:rsidRPr="00253379" w:rsidRDefault="001D7BCE" w:rsidP="001D7BCE">
            <w:r w:rsidRPr="00253379">
              <w:t xml:space="preserve">This consultation will include close consideration of the procedures and practices of applying reasonable adjustments in the classroom. It will also gather insights current state of social inclusion and activities undertaken between mainstream and non-mainstream schools. </w:t>
            </w:r>
          </w:p>
          <w:p w14:paraId="2E6CF5C7" w14:textId="668AE324" w:rsidR="001D7BCE" w:rsidRPr="00253379" w:rsidRDefault="001D7BCE" w:rsidP="001D7BCE">
            <w:r w:rsidRPr="00253379">
              <w:t>The consultation will take into account the current NSW Auditor-General’s Review of ‘Supporting students with a disability in NSW Public schools’, and the NSW Parliamentary Inquiry examining ‘Children and young people with disability in NSW educational settings’. Both are due to report in the second half of 2024.</w:t>
            </w:r>
          </w:p>
        </w:tc>
        <w:tc>
          <w:tcPr>
            <w:tcW w:w="2977" w:type="dxa"/>
            <w:tcMar>
              <w:left w:w="108" w:type="dxa"/>
            </w:tcMar>
          </w:tcPr>
          <w:p w14:paraId="251DAF75" w14:textId="3AAA5659" w:rsidR="001D7BCE" w:rsidRPr="00253379" w:rsidRDefault="001D7BCE" w:rsidP="001D7BCE">
            <w:r w:rsidRPr="00253379">
              <w:t>NSW Department of Education</w:t>
            </w:r>
          </w:p>
        </w:tc>
        <w:tc>
          <w:tcPr>
            <w:tcW w:w="2517" w:type="dxa"/>
            <w:tcMar>
              <w:left w:w="108" w:type="dxa"/>
            </w:tcMar>
          </w:tcPr>
          <w:p w14:paraId="7EE0DF03" w14:textId="5EEA675D" w:rsidR="001D7BCE" w:rsidRPr="00253379" w:rsidRDefault="001D7BCE" w:rsidP="001D7BCE">
            <w:r w:rsidRPr="00253379">
              <w:t>2024</w:t>
            </w:r>
            <w:r w:rsidR="002E6327">
              <w:t xml:space="preserve"> </w:t>
            </w:r>
            <w:r w:rsidRPr="00253379">
              <w:t>-</w:t>
            </w:r>
            <w:r w:rsidR="002E6327">
              <w:t xml:space="preserve"> </w:t>
            </w:r>
            <w:r w:rsidRPr="00253379">
              <w:t>2025</w:t>
            </w:r>
          </w:p>
        </w:tc>
      </w:tr>
      <w:tr w:rsidR="001D7BCE" w:rsidRPr="00353F81" w14:paraId="4827B2B3" w14:textId="77777777" w:rsidTr="006247A1">
        <w:tc>
          <w:tcPr>
            <w:tcW w:w="9521" w:type="dxa"/>
            <w:tcMar>
              <w:left w:w="108" w:type="dxa"/>
            </w:tcMar>
          </w:tcPr>
          <w:p w14:paraId="0B2B0CB4" w14:textId="697CE69E" w:rsidR="001D7BCE" w:rsidRPr="00353F81" w:rsidRDefault="001D7BCE" w:rsidP="001D7BCE">
            <w:pPr>
              <w:rPr>
                <w:b/>
                <w:bCs/>
              </w:rPr>
            </w:pPr>
            <w:r>
              <w:rPr>
                <w:b/>
                <w:bCs/>
              </w:rPr>
              <w:t>3</w:t>
            </w:r>
            <w:r w:rsidR="00F32929">
              <w:rPr>
                <w:b/>
                <w:bCs/>
              </w:rPr>
              <w:t>3</w:t>
            </w:r>
            <w:r>
              <w:rPr>
                <w:b/>
                <w:bCs/>
              </w:rPr>
              <w:t xml:space="preserve">. </w:t>
            </w:r>
            <w:r w:rsidRPr="001836C0">
              <w:rPr>
                <w:b/>
                <w:bCs/>
              </w:rPr>
              <w:t>Work with other governments to refine Nationally Consistent Collection of Data on School Students with Disability (NCCD) levels of adjustments and associated funding for students with disability</w:t>
            </w:r>
          </w:p>
          <w:p w14:paraId="688FD577" w14:textId="54147E5D" w:rsidR="0085036D" w:rsidRPr="0094190F" w:rsidRDefault="000E11F7" w:rsidP="0094190F">
            <w:pPr>
              <w:ind w:hanging="136"/>
              <w:rPr>
                <w:rFonts w:ascii="Calibri" w:eastAsiaTheme="minorHAnsi" w:hAnsi="Calibri"/>
                <w:color w:val="auto"/>
                <w:szCs w:val="22"/>
                <w14:ligatures w14:val="standardContextual"/>
              </w:rPr>
            </w:pPr>
            <w:r>
              <w:t xml:space="preserve">  </w:t>
            </w:r>
            <w:r w:rsidR="0085036D" w:rsidRPr="006247A1">
              <w:rPr>
                <w:rFonts w:eastAsiaTheme="minorHAnsi"/>
                <w:szCs w:val="22"/>
                <w14:ligatures w14:val="standardContextual"/>
              </w:rPr>
              <w:t xml:space="preserve">The Department is committed to continuing to collaborate with the Commonwealth and other jurisdictions to ensure funding frameworks effectively support the diverse needs of students with disability and consider school contexts. Further consideration by governments </w:t>
            </w:r>
            <w:r w:rsidR="0085036D" w:rsidRPr="006247A1">
              <w:rPr>
                <w:rFonts w:eastAsiaTheme="minorHAnsi"/>
                <w:szCs w:val="22"/>
                <w14:ligatures w14:val="standardContextual"/>
              </w:rPr>
              <w:lastRenderedPageBreak/>
              <w:t>is required in areas such as reporting, workload impacts on schools, and data management systems.</w:t>
            </w:r>
            <w:r w:rsidR="0085036D">
              <w:rPr>
                <w:rFonts w:eastAsiaTheme="minorHAnsi"/>
                <w:szCs w:val="22"/>
                <w14:ligatures w14:val="standardContextual"/>
              </w:rPr>
              <w:t xml:space="preserve"> </w:t>
            </w:r>
          </w:p>
        </w:tc>
        <w:tc>
          <w:tcPr>
            <w:tcW w:w="2977" w:type="dxa"/>
            <w:tcMar>
              <w:left w:w="108" w:type="dxa"/>
            </w:tcMar>
          </w:tcPr>
          <w:p w14:paraId="70FD20C7" w14:textId="41DA061F" w:rsidR="001D7BCE" w:rsidRPr="00253379" w:rsidRDefault="001D7BCE" w:rsidP="001D7BCE">
            <w:r w:rsidRPr="00253379">
              <w:lastRenderedPageBreak/>
              <w:t xml:space="preserve">NSW Department of Education </w:t>
            </w:r>
          </w:p>
        </w:tc>
        <w:tc>
          <w:tcPr>
            <w:tcW w:w="2517" w:type="dxa"/>
            <w:tcMar>
              <w:left w:w="108" w:type="dxa"/>
            </w:tcMar>
          </w:tcPr>
          <w:p w14:paraId="39DF575F" w14:textId="21177F9D" w:rsidR="001D7BCE" w:rsidRPr="00253379" w:rsidRDefault="001D7BCE" w:rsidP="001D7BCE">
            <w:r w:rsidRPr="00253379">
              <w:t>2025</w:t>
            </w:r>
          </w:p>
        </w:tc>
      </w:tr>
      <w:tr w:rsidR="00A10DCA" w:rsidRPr="00353F81" w14:paraId="651E755E" w14:textId="77777777" w:rsidTr="006247A1">
        <w:tc>
          <w:tcPr>
            <w:tcW w:w="9521" w:type="dxa"/>
            <w:tcMar>
              <w:left w:w="108" w:type="dxa"/>
            </w:tcMar>
          </w:tcPr>
          <w:p w14:paraId="26F98F26" w14:textId="10378036" w:rsidR="00A10DCA" w:rsidRDefault="009630D7" w:rsidP="00A10DCA">
            <w:pPr>
              <w:rPr>
                <w:b/>
                <w:bCs/>
              </w:rPr>
            </w:pPr>
            <w:r>
              <w:rPr>
                <w:b/>
                <w:bCs/>
              </w:rPr>
              <w:t xml:space="preserve">34. </w:t>
            </w:r>
            <w:r w:rsidR="00A10DCA" w:rsidRPr="00A10DCA">
              <w:rPr>
                <w:b/>
                <w:bCs/>
              </w:rPr>
              <w:t>Build workforce capability to foster inclusive learning environments</w:t>
            </w:r>
          </w:p>
          <w:p w14:paraId="05E8AA8A" w14:textId="782C4CAD" w:rsidR="00A10DCA" w:rsidRPr="00250A1F" w:rsidRDefault="00A10DCA" w:rsidP="00A10DCA">
            <w:r w:rsidRPr="00250A1F">
              <w:t>Professional learning for teachers is crucial in providing the skills and knowledge needed to effectively support students with disability and promote inclusive education. Building workforce capability and expertise ensures teachers can create accessible learning environments and implement strategies that accommodate diverse learning needs, fostering an equitable educational experience for all students.</w:t>
            </w:r>
          </w:p>
        </w:tc>
        <w:tc>
          <w:tcPr>
            <w:tcW w:w="2977" w:type="dxa"/>
            <w:tcMar>
              <w:left w:w="108" w:type="dxa"/>
            </w:tcMar>
          </w:tcPr>
          <w:p w14:paraId="49E31AB1" w14:textId="68E65335" w:rsidR="00A10DCA" w:rsidRPr="00253379" w:rsidRDefault="00A10DCA" w:rsidP="00A10DCA">
            <w:r w:rsidRPr="005E7C82">
              <w:t xml:space="preserve">NSW Department of Education </w:t>
            </w:r>
          </w:p>
        </w:tc>
        <w:tc>
          <w:tcPr>
            <w:tcW w:w="2517" w:type="dxa"/>
            <w:tcMar>
              <w:left w:w="108" w:type="dxa"/>
            </w:tcMar>
          </w:tcPr>
          <w:p w14:paraId="2883D8BC" w14:textId="5B846062" w:rsidR="00A10DCA" w:rsidRPr="00253379" w:rsidRDefault="002E6327" w:rsidP="00A10DCA">
            <w:r>
              <w:t xml:space="preserve">Ongoing </w:t>
            </w:r>
          </w:p>
        </w:tc>
      </w:tr>
      <w:tr w:rsidR="001D7BCE" w:rsidRPr="00353F81" w14:paraId="3B27BF8B" w14:textId="77777777" w:rsidTr="006247A1">
        <w:tc>
          <w:tcPr>
            <w:tcW w:w="9521" w:type="dxa"/>
            <w:tcMar>
              <w:left w:w="108" w:type="dxa"/>
            </w:tcMar>
          </w:tcPr>
          <w:p w14:paraId="36483895" w14:textId="3B698C0D" w:rsidR="00F32929" w:rsidRDefault="001D7BCE" w:rsidP="00F32929">
            <w:pPr>
              <w:rPr>
                <w:b/>
                <w:bCs/>
              </w:rPr>
            </w:pPr>
            <w:r>
              <w:rPr>
                <w:b/>
                <w:bCs/>
              </w:rPr>
              <w:t>3</w:t>
            </w:r>
            <w:r w:rsidR="009630D7">
              <w:rPr>
                <w:b/>
                <w:bCs/>
              </w:rPr>
              <w:t>5</w:t>
            </w:r>
            <w:r>
              <w:rPr>
                <w:b/>
                <w:bCs/>
              </w:rPr>
              <w:t xml:space="preserve">. </w:t>
            </w:r>
            <w:r w:rsidRPr="00E1528A">
              <w:rPr>
                <w:b/>
                <w:bCs/>
              </w:rPr>
              <w:t>Evaluate the Justice Advocacy Service diversion service, with an independent outcomes evaluation and cost-benefit analysis planned for 2024.</w:t>
            </w:r>
          </w:p>
          <w:p w14:paraId="7269FD16" w14:textId="4E5537BD" w:rsidR="001D7BCE" w:rsidRPr="00F32929" w:rsidRDefault="001D7BCE" w:rsidP="00F32929">
            <w:pPr>
              <w:rPr>
                <w:b/>
                <w:bCs/>
              </w:rPr>
            </w:pPr>
            <w:r w:rsidRPr="00353F81">
              <w:t>Initiate the procurement process for engaging an independent evaluation (by Q2 of FY2024/25) to undertake the quantitative and qualitative outcomes evaluation and economic analysis of the Justice Advocacy Service diversion service.</w:t>
            </w:r>
          </w:p>
        </w:tc>
        <w:tc>
          <w:tcPr>
            <w:tcW w:w="2977" w:type="dxa"/>
            <w:tcMar>
              <w:left w:w="108" w:type="dxa"/>
            </w:tcMar>
          </w:tcPr>
          <w:p w14:paraId="671F309F" w14:textId="7A385277" w:rsidR="001D7BCE" w:rsidRPr="00353F81" w:rsidRDefault="001D7BCE" w:rsidP="001D7BCE">
            <w:r w:rsidRPr="00353F81">
              <w:t>Department of Communities and Justice</w:t>
            </w:r>
            <w:r>
              <w:t xml:space="preserve"> </w:t>
            </w:r>
          </w:p>
        </w:tc>
        <w:tc>
          <w:tcPr>
            <w:tcW w:w="2517" w:type="dxa"/>
            <w:tcMar>
              <w:left w:w="108" w:type="dxa"/>
            </w:tcMar>
          </w:tcPr>
          <w:p w14:paraId="3E1AE18B" w14:textId="3B0B1BEB" w:rsidR="001D7BCE" w:rsidRPr="00353F81" w:rsidRDefault="001D7BCE" w:rsidP="001D7BCE">
            <w:r w:rsidRPr="00353F81">
              <w:t>Evaluation planned between FY 2024-25 and FY25-26</w:t>
            </w:r>
          </w:p>
          <w:p w14:paraId="329938E0" w14:textId="1D8A6A1D" w:rsidR="001D7BCE" w:rsidRPr="00353F81" w:rsidRDefault="001D7BCE" w:rsidP="001D7BCE">
            <w:pPr>
              <w:rPr>
                <w:highlight w:val="yellow"/>
              </w:rPr>
            </w:pPr>
          </w:p>
        </w:tc>
      </w:tr>
      <w:tr w:rsidR="001D7BCE" w:rsidRPr="00353F81" w14:paraId="6306A867" w14:textId="77777777" w:rsidTr="006247A1">
        <w:tc>
          <w:tcPr>
            <w:tcW w:w="9521" w:type="dxa"/>
            <w:tcMar>
              <w:left w:w="108" w:type="dxa"/>
            </w:tcMar>
          </w:tcPr>
          <w:p w14:paraId="4C71B0D2" w14:textId="6598B8FF" w:rsidR="001D7BCE" w:rsidRPr="000B0446" w:rsidRDefault="001D7BCE" w:rsidP="001D7BCE">
            <w:r>
              <w:rPr>
                <w:b/>
                <w:bCs/>
              </w:rPr>
              <w:t>3</w:t>
            </w:r>
            <w:r w:rsidR="009630D7">
              <w:rPr>
                <w:b/>
                <w:bCs/>
              </w:rPr>
              <w:t>6</w:t>
            </w:r>
            <w:r>
              <w:rPr>
                <w:b/>
                <w:bCs/>
              </w:rPr>
              <w:t xml:space="preserve">. </w:t>
            </w:r>
            <w:r w:rsidRPr="00E1528A">
              <w:rPr>
                <w:b/>
                <w:bCs/>
              </w:rPr>
              <w:t xml:space="preserve">Work with other </w:t>
            </w:r>
            <w:r w:rsidR="002E6327">
              <w:rPr>
                <w:b/>
                <w:bCs/>
              </w:rPr>
              <w:t>S</w:t>
            </w:r>
            <w:r w:rsidRPr="00E1528A">
              <w:rPr>
                <w:b/>
                <w:bCs/>
              </w:rPr>
              <w:t xml:space="preserve">tates and </w:t>
            </w:r>
            <w:r w:rsidR="002E6327">
              <w:rPr>
                <w:b/>
                <w:bCs/>
              </w:rPr>
              <w:t>T</w:t>
            </w:r>
            <w:r w:rsidRPr="00E1528A">
              <w:rPr>
                <w:b/>
                <w:bCs/>
              </w:rPr>
              <w:t>erritories to develop a consistent national approach for screening for disability in custody</w:t>
            </w:r>
            <w:r w:rsidRPr="000B0446">
              <w:t>.</w:t>
            </w:r>
          </w:p>
          <w:p w14:paraId="5E0F124C" w14:textId="77777777" w:rsidR="001D7BCE" w:rsidRPr="00353F81" w:rsidRDefault="001D7BCE" w:rsidP="001D7BCE">
            <w:r w:rsidRPr="00353F81">
              <w:t xml:space="preserve">NSW Government is supportive of considering national principles, which must be developed in partnership with people with lived experience including Aboriginal communities and Aboriginal led organisations.  </w:t>
            </w:r>
          </w:p>
          <w:p w14:paraId="033DE127" w14:textId="77777777" w:rsidR="001D7BCE" w:rsidRPr="00353F81" w:rsidRDefault="001D7BCE" w:rsidP="001D7BCE">
            <w:r w:rsidRPr="00353F81">
              <w:t xml:space="preserve">Screening processes need to also concurrently account for a person's right to privacy, remain dynamic and adaptable to the different legislative domains across health and justice systems and allow for the unique differences between young people and adults.  </w:t>
            </w:r>
          </w:p>
          <w:p w14:paraId="40A673D1" w14:textId="2C01ED73" w:rsidR="001D7BCE" w:rsidRPr="00353F81" w:rsidRDefault="00F32929" w:rsidP="001D7BCE">
            <w:r>
              <w:t xml:space="preserve">The </w:t>
            </w:r>
            <w:r w:rsidR="001D7BCE" w:rsidRPr="00353F81">
              <w:t>NSW Government welcomes further collaboration and partnership under this recommendation as part of considering the implementation strategy</w:t>
            </w:r>
          </w:p>
        </w:tc>
        <w:tc>
          <w:tcPr>
            <w:tcW w:w="2977" w:type="dxa"/>
            <w:tcMar>
              <w:left w:w="108" w:type="dxa"/>
            </w:tcMar>
          </w:tcPr>
          <w:p w14:paraId="4CB5F1A4" w14:textId="41581B01" w:rsidR="001D7BCE" w:rsidRPr="00353F81" w:rsidRDefault="001D7BCE" w:rsidP="001D7BCE">
            <w:r w:rsidRPr="00353F81">
              <w:t>Department of Communities and Justice</w:t>
            </w:r>
          </w:p>
        </w:tc>
        <w:tc>
          <w:tcPr>
            <w:tcW w:w="2517" w:type="dxa"/>
            <w:tcMar>
              <w:left w:w="108" w:type="dxa"/>
            </w:tcMar>
          </w:tcPr>
          <w:p w14:paraId="7B03FCD0" w14:textId="7AE405DC" w:rsidR="001D7BCE" w:rsidRPr="00353F81" w:rsidRDefault="00250A1F" w:rsidP="001D7BCE">
            <w:r>
              <w:t>2025</w:t>
            </w:r>
            <w:r w:rsidRPr="00353F81">
              <w:t xml:space="preserve"> </w:t>
            </w:r>
          </w:p>
        </w:tc>
      </w:tr>
    </w:tbl>
    <w:p w14:paraId="51ABBC29" w14:textId="77777777" w:rsidR="002E7049" w:rsidRPr="006416F0" w:rsidRDefault="002E7049" w:rsidP="00214FBD">
      <w:pPr>
        <w:pStyle w:val="BodyText"/>
      </w:pPr>
    </w:p>
    <w:sectPr w:rsidR="002E7049" w:rsidRPr="006416F0" w:rsidSect="00FA13FC">
      <w:footerReference w:type="even" r:id="rId13"/>
      <w:footerReference w:type="default" r:id="rId14"/>
      <w:headerReference w:type="first" r:id="rId15"/>
      <w:footerReference w:type="first" r:id="rId16"/>
      <w:pgSz w:w="16840" w:h="11900" w:orient="landscape" w:code="9"/>
      <w:pgMar w:top="851" w:right="851" w:bottom="851" w:left="851" w:header="0" w:footer="17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59554" w14:textId="77777777" w:rsidR="003C71A1" w:rsidRDefault="003C71A1" w:rsidP="00D41211">
      <w:r>
        <w:separator/>
      </w:r>
    </w:p>
  </w:endnote>
  <w:endnote w:type="continuationSeparator" w:id="0">
    <w:p w14:paraId="36B959E7" w14:textId="77777777" w:rsidR="003C71A1" w:rsidRDefault="003C71A1" w:rsidP="00D41211">
      <w:r>
        <w:continuationSeparator/>
      </w:r>
    </w:p>
  </w:endnote>
  <w:endnote w:type="continuationNotice" w:id="1">
    <w:p w14:paraId="391DA4E1" w14:textId="77777777" w:rsidR="003C71A1" w:rsidRDefault="003C71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542414"/>
      <w:docPartObj>
        <w:docPartGallery w:val="Page Numbers (Bottom of Page)"/>
        <w:docPartUnique/>
      </w:docPartObj>
    </w:sdtPr>
    <w:sdtEndPr/>
    <w:sdtContent>
      <w:p w14:paraId="34BB0F35" w14:textId="2990FD39" w:rsidR="004604E2" w:rsidRDefault="004604E2" w:rsidP="00653641">
        <w:pPr>
          <w:pStyle w:val="Footer"/>
        </w:pPr>
        <w:r>
          <w:fldChar w:fldCharType="begin"/>
        </w:r>
        <w:r>
          <w:instrText xml:space="preserve"> PAGE </w:instrText>
        </w:r>
        <w:r>
          <w:fldChar w:fldCharType="separate"/>
        </w:r>
        <w:r w:rsidR="001A61B0">
          <w:rPr>
            <w:noProof/>
          </w:rPr>
          <w:t>2</w:t>
        </w:r>
        <w:r>
          <w:fldChar w:fldCharType="end"/>
        </w:r>
      </w:p>
    </w:sdtContent>
  </w:sdt>
  <w:p w14:paraId="07433E79" w14:textId="77777777" w:rsidR="006E0192" w:rsidRDefault="006E0192" w:rsidP="00653641">
    <w:pPr>
      <w:pStyle w:val="Footer"/>
    </w:pPr>
  </w:p>
  <w:p w14:paraId="39C066BF" w14:textId="77777777" w:rsidR="006F13D5" w:rsidRDefault="006F13D5" w:rsidP="00653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BF85" w14:textId="1A04C2C8" w:rsidR="005C7BA3" w:rsidRPr="005C7BA3" w:rsidRDefault="005C7BA3" w:rsidP="00214FBD">
    <w:pPr>
      <w:pStyle w:val="BodyText"/>
    </w:pPr>
  </w:p>
  <w:sdt>
    <w:sdtPr>
      <w:rPr>
        <w:rStyle w:val="PageNumber"/>
      </w:rPr>
      <w:id w:val="238912985"/>
      <w:docPartObj>
        <w:docPartGallery w:val="Page Numbers (Bottom of Page)"/>
        <w:docPartUnique/>
      </w:docPartObj>
    </w:sdtPr>
    <w:sdtEndPr>
      <w:rPr>
        <w:rStyle w:val="PageNumber"/>
      </w:rPr>
    </w:sdtEndPr>
    <w:sdtContent>
      <w:p w14:paraId="40DE0B63" w14:textId="77777777" w:rsidR="005C7BA3" w:rsidRDefault="005C7BA3" w:rsidP="007F3D50">
        <w:pPr>
          <w:pStyle w:val="Footer"/>
          <w:framePr w:w="5076" w:wrap="none" w:vAnchor="text" w:hAnchor="page" w:x="10794" w:y="234"/>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2167A60A" w14:textId="20D198A2" w:rsidR="005C7BA3" w:rsidRDefault="007F3D50" w:rsidP="007F3D50">
    <w:pPr>
      <w:pStyle w:val="Footer"/>
      <w:tabs>
        <w:tab w:val="clear" w:pos="6804"/>
        <w:tab w:val="left" w:pos="8080"/>
      </w:tabs>
      <w:spacing w:before="480"/>
      <w:ind w:right="360"/>
    </w:pPr>
    <w:r>
      <w:t xml:space="preserve">Appendix </w:t>
    </w:r>
    <w:r w:rsidR="005B1FFD">
      <w:t>B</w:t>
    </w:r>
    <w:r>
      <w:t xml:space="preserve">: NSW Government </w:t>
    </w:r>
    <w:r w:rsidR="005B1FFD">
      <w:t>2024/25 Implementation Plan</w:t>
    </w:r>
    <w:r w:rsidR="005C7BA3" w:rsidRPr="00552F70">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0E4D" w14:textId="2DA097F6" w:rsidR="005C7BA3" w:rsidRPr="005C7BA3" w:rsidRDefault="005C7BA3" w:rsidP="00214FBD">
    <w:pPr>
      <w:pStyle w:val="BodyText"/>
    </w:pPr>
  </w:p>
  <w:sdt>
    <w:sdtPr>
      <w:rPr>
        <w:rStyle w:val="PageNumber"/>
      </w:rPr>
      <w:id w:val="1871645359"/>
      <w:docPartObj>
        <w:docPartGallery w:val="Page Numbers (Bottom of Page)"/>
        <w:docPartUnique/>
      </w:docPartObj>
    </w:sdtPr>
    <w:sdtEndPr>
      <w:rPr>
        <w:rStyle w:val="PageNumber"/>
      </w:rPr>
    </w:sdtEndPr>
    <w:sdtContent>
      <w:p w14:paraId="00E67DA3" w14:textId="77777777" w:rsidR="005C7BA3" w:rsidRDefault="005C7BA3" w:rsidP="007F3D50">
        <w:pPr>
          <w:pStyle w:val="Footer"/>
          <w:framePr w:w="5076" w:wrap="none" w:vAnchor="text" w:hAnchor="page" w:x="10794" w:y="234"/>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18CF4C" w14:textId="6BFD3616" w:rsidR="002E7049" w:rsidRDefault="005B1FFD" w:rsidP="005B1FFD">
    <w:pPr>
      <w:pStyle w:val="Footer"/>
      <w:tabs>
        <w:tab w:val="clear" w:pos="6804"/>
        <w:tab w:val="left" w:pos="8080"/>
      </w:tabs>
      <w:spacing w:before="480"/>
      <w:ind w:right="360"/>
    </w:pPr>
    <w:r>
      <w:t>Appendix B: NSW Government 2024/25 Implementation Plan</w:t>
    </w:r>
    <w:r w:rsidRPr="00552F70">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5B602" w14:textId="77777777" w:rsidR="003C71A1" w:rsidRDefault="003C71A1" w:rsidP="00D41211">
      <w:r>
        <w:separator/>
      </w:r>
    </w:p>
  </w:footnote>
  <w:footnote w:type="continuationSeparator" w:id="0">
    <w:p w14:paraId="5A41C2D2" w14:textId="77777777" w:rsidR="003C71A1" w:rsidRDefault="003C71A1" w:rsidP="00D41211">
      <w:r>
        <w:continuationSeparator/>
      </w:r>
    </w:p>
  </w:footnote>
  <w:footnote w:type="continuationNotice" w:id="1">
    <w:p w14:paraId="375DD236" w14:textId="77777777" w:rsidR="003C71A1" w:rsidRDefault="003C71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unities and Justice New South Wales Government"/>
    </w:tblPr>
    <w:tblGrid>
      <w:gridCol w:w="9038"/>
      <w:gridCol w:w="5988"/>
    </w:tblGrid>
    <w:tr w:rsidR="00E574BB" w14:paraId="268C78B5" w14:textId="77777777" w:rsidTr="007F3D50">
      <w:trPr>
        <w:cantSplit/>
        <w:tblHeader/>
      </w:trPr>
      <w:tc>
        <w:tcPr>
          <w:tcW w:w="9038" w:type="dxa"/>
        </w:tcPr>
        <w:p w14:paraId="4E9B5A5A" w14:textId="77777777" w:rsidR="00DE6A45" w:rsidRDefault="00FA13FC" w:rsidP="000B0446">
          <w:pPr>
            <w:pStyle w:val="Descriptor"/>
          </w:pPr>
          <w:r>
            <w:rPr>
              <w:noProof/>
            </w:rPr>
            <mc:AlternateContent>
              <mc:Choice Requires="wps">
                <w:drawing>
                  <wp:anchor distT="0" distB="0" distL="114300" distR="114300" simplePos="0" relativeHeight="251658240" behindDoc="1" locked="0" layoutInCell="1" allowOverlap="1" wp14:anchorId="456BF043" wp14:editId="63B2AB8D">
                    <wp:simplePos x="0" y="0"/>
                    <wp:positionH relativeFrom="column">
                      <wp:posOffset>-730580</wp:posOffset>
                    </wp:positionH>
                    <wp:positionV relativeFrom="paragraph">
                      <wp:posOffset>-504749</wp:posOffset>
                    </wp:positionV>
                    <wp:extent cx="10877550" cy="2136039"/>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877550" cy="2136039"/>
                            </a:xfrm>
                            <a:prstGeom prst="rect">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B4A81" id="Rectangle 6" o:spid="_x0000_s1026" alt="&quot;&quot;" style="position:absolute;margin-left:-57.55pt;margin-top:-39.75pt;width:856.5pt;height:16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" fillcolor="#cbedfd [3205]" stroked="f"/>
                </w:pict>
              </mc:Fallback>
            </mc:AlternateContent>
          </w:r>
          <w:r>
            <w:br/>
          </w:r>
        </w:p>
        <w:p w14:paraId="7B68D88A" w14:textId="2094E3F6" w:rsidR="00A638E9" w:rsidRDefault="00A638E9" w:rsidP="000B0446">
          <w:pPr>
            <w:pStyle w:val="Descriptor"/>
            <w:rPr>
              <w:noProof/>
            </w:rPr>
          </w:pPr>
        </w:p>
        <w:p w14:paraId="20A6B9CD" w14:textId="77777777" w:rsidR="00A638E9" w:rsidRDefault="00A638E9" w:rsidP="000B0446">
          <w:pPr>
            <w:pStyle w:val="Descriptor"/>
            <w:rPr>
              <w:noProof/>
            </w:rPr>
          </w:pPr>
        </w:p>
        <w:p w14:paraId="27CE7D69" w14:textId="5B1A7627" w:rsidR="00E574BB" w:rsidRPr="00353F81" w:rsidRDefault="00A638E9" w:rsidP="000B0446">
          <w:pPr>
            <w:pStyle w:val="Descriptor"/>
            <w:rPr>
              <w:noProof/>
            </w:rPr>
          </w:pPr>
          <w:r w:rsidRPr="00353F81">
            <w:t>Appendix B: NSW Government 2024/25 Implementation Plan</w:t>
          </w:r>
        </w:p>
      </w:tc>
      <w:tc>
        <w:tcPr>
          <w:tcW w:w="5988" w:type="dxa"/>
        </w:tcPr>
        <w:p w14:paraId="37ADEDE7" w14:textId="0D193798" w:rsidR="00E574BB" w:rsidRDefault="00E574BB" w:rsidP="00E574BB">
          <w:pPr>
            <w:jc w:val="right"/>
          </w:pPr>
          <w:r>
            <w:rPr>
              <w:noProof/>
            </w:rPr>
            <w:drawing>
              <wp:anchor distT="0" distB="0" distL="114300" distR="114300" simplePos="0" relativeHeight="251659264" behindDoc="1" locked="0" layoutInCell="1" allowOverlap="1" wp14:anchorId="19B61FB0" wp14:editId="6CFBC462">
                <wp:simplePos x="0" y="0"/>
                <wp:positionH relativeFrom="column">
                  <wp:posOffset>3072130</wp:posOffset>
                </wp:positionH>
                <wp:positionV relativeFrom="paragraph">
                  <wp:posOffset>200025</wp:posOffset>
                </wp:positionV>
                <wp:extent cx="730800" cy="792000"/>
                <wp:effectExtent l="0" t="0" r="0" b="8255"/>
                <wp:wrapTight wrapText="bothSides">
                  <wp:wrapPolygon edited="0">
                    <wp:start x="5635" y="0"/>
                    <wp:lineTo x="0" y="2598"/>
                    <wp:lineTo x="0" y="21306"/>
                    <wp:lineTo x="20849" y="21306"/>
                    <wp:lineTo x="20849" y="2598"/>
                    <wp:lineTo x="15214" y="0"/>
                    <wp:lineTo x="5635" y="0"/>
                  </wp:wrapPolygon>
                </wp:wrapTight>
                <wp:docPr id="2" name="Picture 2"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800" cy="792000"/>
                        </a:xfrm>
                        <a:prstGeom prst="rect">
                          <a:avLst/>
                        </a:prstGeom>
                      </pic:spPr>
                    </pic:pic>
                  </a:graphicData>
                </a:graphic>
              </wp:anchor>
            </w:drawing>
          </w:r>
        </w:p>
      </w:tc>
    </w:tr>
  </w:tbl>
  <w:p w14:paraId="75FF7DA9" w14:textId="544124D9" w:rsidR="00772FE9" w:rsidRDefault="00FA13FC" w:rsidP="00FA13FC">
    <w:pPr>
      <w:spacing w:after="840"/>
    </w:pPr>
    <w:r w:rsidRPr="006416F0">
      <w:t>31 July 202</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BCAE6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CFAB5B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88488F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CE239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FE6C73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5B4025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B1A2198"/>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B2C97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7A200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B0A57A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64164042"/>
    <w:lvl w:ilvl="0" w:tplc="9C7CE5E4">
      <w:start w:val="1"/>
      <w:numFmt w:val="bullet"/>
      <w:pStyle w:val="Bullet1"/>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338C5"/>
    <w:multiLevelType w:val="hybridMultilevel"/>
    <w:tmpl w:val="1480BAB6"/>
    <w:lvl w:ilvl="0" w:tplc="04090005">
      <w:start w:val="1"/>
      <w:numFmt w:val="bullet"/>
      <w:lvlText w:val=""/>
      <w:lvlJc w:val="left"/>
      <w:pPr>
        <w:tabs>
          <w:tab w:val="num" w:pos="850"/>
        </w:tabs>
        <w:ind w:left="850" w:hanging="283"/>
      </w:pPr>
      <w:rPr>
        <w:rFonts w:ascii="Wingdings" w:hAnsi="Wingdings"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0AA70BE"/>
    <w:multiLevelType w:val="multilevel"/>
    <w:tmpl w:val="170C8182"/>
    <w:lvl w:ilvl="0">
      <w:start w:val="1"/>
      <w:numFmt w:val="decimal"/>
      <w:lvlText w:val="%1."/>
      <w:lvlJc w:val="left"/>
      <w:pPr>
        <w:tabs>
          <w:tab w:val="num" w:pos="425"/>
        </w:tabs>
        <w:ind w:left="425" w:hanging="425"/>
      </w:pPr>
      <w:rPr>
        <w:rFonts w:asciiTheme="minorHAnsi" w:hAnsiTheme="minorHAnsi" w:hint="default"/>
      </w:rPr>
    </w:lvl>
    <w:lvl w:ilvl="1">
      <w:start w:val="1"/>
      <w:numFmt w:val="lowerLetter"/>
      <w:lvlText w:val="%2."/>
      <w:lvlJc w:val="left"/>
      <w:pPr>
        <w:tabs>
          <w:tab w:val="num" w:pos="851"/>
        </w:tabs>
        <w:ind w:left="851" w:hanging="426"/>
      </w:pPr>
      <w:rPr>
        <w:rFonts w:asciiTheme="minorHAnsi" w:hAnsiTheme="minorHAnsi" w:hint="default"/>
      </w:rPr>
    </w:lvl>
    <w:lvl w:ilvl="2">
      <w:start w:val="1"/>
      <w:numFmt w:val="lowerRoman"/>
      <w:lvlText w:val="%3."/>
      <w:lvlJc w:val="left"/>
      <w:pPr>
        <w:tabs>
          <w:tab w:val="num" w:pos="1276"/>
        </w:tabs>
        <w:ind w:left="1276" w:hanging="425"/>
      </w:pPr>
      <w:rPr>
        <w:rFonts w:asciiTheme="minorHAnsi" w:hAnsiTheme="minorHAns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98105B"/>
    <w:multiLevelType w:val="hybridMultilevel"/>
    <w:tmpl w:val="214222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B92A23BC">
      <w:numFmt w:val="bullet"/>
      <w:lvlText w:val="•"/>
      <w:lvlJc w:val="left"/>
      <w:pPr>
        <w:ind w:left="1800" w:hanging="360"/>
      </w:pPr>
      <w:rPr>
        <w:rFonts w:ascii="Arial" w:eastAsiaTheme="minorEastAsia"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BE35DD1"/>
    <w:multiLevelType w:val="hybridMultilevel"/>
    <w:tmpl w:val="A85C840C"/>
    <w:lvl w:ilvl="0" w:tplc="4124750E">
      <w:start w:val="1"/>
      <w:numFmt w:val="bullet"/>
      <w:pStyle w:val="Bullet3"/>
      <w:lvlText w:val=""/>
      <w:lvlJc w:val="left"/>
      <w:pPr>
        <w:tabs>
          <w:tab w:val="num" w:pos="850"/>
        </w:tabs>
        <w:ind w:left="850" w:hanging="283"/>
      </w:pPr>
      <w:rPr>
        <w:rFonts w:ascii="Symbol" w:hAnsi="Symbol" w:hint="default"/>
        <w:b w:val="0"/>
        <w:i w:val="0"/>
        <w:color w:val="002664" w:themeColor="accent1"/>
        <w:sz w:val="18"/>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57D4695"/>
    <w:multiLevelType w:val="hybridMultilevel"/>
    <w:tmpl w:val="2E666274"/>
    <w:lvl w:ilvl="0" w:tplc="534CDACA">
      <w:start w:val="1"/>
      <w:numFmt w:val="bullet"/>
      <w:lvlText w:val=""/>
      <w:lvlJc w:val="left"/>
      <w:pPr>
        <w:tabs>
          <w:tab w:val="num" w:pos="358"/>
        </w:tabs>
        <w:ind w:left="358" w:hanging="358"/>
      </w:pPr>
      <w:rPr>
        <w:rFonts w:ascii="Symbol" w:hAnsi="Symbol" w:hint="default"/>
        <w:b w:val="0"/>
        <w:i w:val="0"/>
        <w:color w:val="22272B" w:themeColor="text1"/>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5C1821"/>
    <w:multiLevelType w:val="hybridMultilevel"/>
    <w:tmpl w:val="BF56F79E"/>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883D19"/>
    <w:multiLevelType w:val="hybridMultilevel"/>
    <w:tmpl w:val="782CC710"/>
    <w:lvl w:ilvl="0" w:tplc="3558BF82">
      <w:start w:val="1"/>
      <w:numFmt w:val="bullet"/>
      <w:pStyle w:val="Bullet2"/>
      <w:lvlText w:val="–"/>
      <w:lvlJc w:val="left"/>
      <w:pPr>
        <w:tabs>
          <w:tab w:val="num" w:pos="567"/>
        </w:tabs>
        <w:ind w:left="567" w:hanging="283"/>
      </w:pPr>
      <w:rPr>
        <w:rFonts w:ascii="Times New Roman" w:hAnsi="Times New Roman"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C509DC"/>
    <w:multiLevelType w:val="hybridMultilevel"/>
    <w:tmpl w:val="E4F89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BE1CEA"/>
    <w:multiLevelType w:val="hybridMultilevel"/>
    <w:tmpl w:val="D5E650A8"/>
    <w:lvl w:ilvl="0" w:tplc="C2721AEA">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7" w15:restartNumberingAfterBreak="0">
    <w:nsid w:val="63E46474"/>
    <w:multiLevelType w:val="hybridMultilevel"/>
    <w:tmpl w:val="39C6F420"/>
    <w:lvl w:ilvl="0" w:tplc="2244F880">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58122C0"/>
    <w:multiLevelType w:val="hybridMultilevel"/>
    <w:tmpl w:val="AD74C5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i"/>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9893C85"/>
    <w:multiLevelType w:val="hybridMultilevel"/>
    <w:tmpl w:val="11E4DB0C"/>
    <w:lvl w:ilvl="0" w:tplc="5C8825B6">
      <w:start w:val="1"/>
      <w:numFmt w:val="bullet"/>
      <w:lvlText w:val=""/>
      <w:lvlJc w:val="left"/>
      <w:pPr>
        <w:tabs>
          <w:tab w:val="num" w:pos="850"/>
        </w:tabs>
        <w:ind w:left="850" w:hanging="283"/>
      </w:pPr>
      <w:rPr>
        <w:rFonts w:ascii="Wingdings" w:hAnsi="Wingdings" w:hint="default"/>
        <w:b w:val="0"/>
        <w:i w:val="0"/>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CC0FF3"/>
    <w:multiLevelType w:val="hybridMultilevel"/>
    <w:tmpl w:val="3E9AEB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4147012">
    <w:abstractNumId w:val="19"/>
  </w:num>
  <w:num w:numId="2" w16cid:durableId="1209411057">
    <w:abstractNumId w:val="16"/>
  </w:num>
  <w:num w:numId="3" w16cid:durableId="1850364374">
    <w:abstractNumId w:val="0"/>
  </w:num>
  <w:num w:numId="4" w16cid:durableId="753164317">
    <w:abstractNumId w:val="25"/>
  </w:num>
  <w:num w:numId="5" w16cid:durableId="1022897865">
    <w:abstractNumId w:val="28"/>
  </w:num>
  <w:num w:numId="6" w16cid:durableId="858393831">
    <w:abstractNumId w:val="11"/>
  </w:num>
  <w:num w:numId="7" w16cid:durableId="1089959780">
    <w:abstractNumId w:val="32"/>
  </w:num>
  <w:num w:numId="8" w16cid:durableId="2038895653">
    <w:abstractNumId w:val="23"/>
  </w:num>
  <w:num w:numId="9" w16cid:durableId="1110276599">
    <w:abstractNumId w:val="14"/>
  </w:num>
  <w:num w:numId="10" w16cid:durableId="722220600">
    <w:abstractNumId w:val="20"/>
  </w:num>
  <w:num w:numId="11" w16cid:durableId="2029331576">
    <w:abstractNumId w:val="33"/>
  </w:num>
  <w:num w:numId="12" w16cid:durableId="2011251091">
    <w:abstractNumId w:val="15"/>
  </w:num>
  <w:num w:numId="13" w16cid:durableId="486097802">
    <w:abstractNumId w:val="27"/>
  </w:num>
  <w:num w:numId="14" w16cid:durableId="582178787">
    <w:abstractNumId w:val="12"/>
  </w:num>
  <w:num w:numId="15" w16cid:durableId="887687747">
    <w:abstractNumId w:val="31"/>
  </w:num>
  <w:num w:numId="16" w16cid:durableId="77096993">
    <w:abstractNumId w:val="13"/>
  </w:num>
  <w:num w:numId="17" w16cid:durableId="1941136332">
    <w:abstractNumId w:val="30"/>
  </w:num>
  <w:num w:numId="18" w16cid:durableId="52781355">
    <w:abstractNumId w:val="18"/>
  </w:num>
  <w:num w:numId="19" w16cid:durableId="2099252217">
    <w:abstractNumId w:val="17"/>
  </w:num>
  <w:num w:numId="20" w16cid:durableId="1913657818">
    <w:abstractNumId w:val="24"/>
  </w:num>
  <w:num w:numId="21" w16cid:durableId="1180310853">
    <w:abstractNumId w:val="34"/>
  </w:num>
  <w:num w:numId="22" w16cid:durableId="1595163777">
    <w:abstractNumId w:val="10"/>
  </w:num>
  <w:num w:numId="23" w16cid:durableId="1148518913">
    <w:abstractNumId w:val="8"/>
  </w:num>
  <w:num w:numId="24" w16cid:durableId="1093547521">
    <w:abstractNumId w:val="7"/>
  </w:num>
  <w:num w:numId="25" w16cid:durableId="1321082224">
    <w:abstractNumId w:val="6"/>
  </w:num>
  <w:num w:numId="26" w16cid:durableId="995689987">
    <w:abstractNumId w:val="5"/>
  </w:num>
  <w:num w:numId="27" w16cid:durableId="1486313152">
    <w:abstractNumId w:val="9"/>
  </w:num>
  <w:num w:numId="28" w16cid:durableId="1350793645">
    <w:abstractNumId w:val="4"/>
  </w:num>
  <w:num w:numId="29" w16cid:durableId="1566139649">
    <w:abstractNumId w:val="3"/>
  </w:num>
  <w:num w:numId="30" w16cid:durableId="1310015994">
    <w:abstractNumId w:val="2"/>
  </w:num>
  <w:num w:numId="31" w16cid:durableId="1365473714">
    <w:abstractNumId w:val="1"/>
  </w:num>
  <w:num w:numId="32" w16cid:durableId="1083336843">
    <w:abstractNumId w:val="22"/>
  </w:num>
  <w:num w:numId="33" w16cid:durableId="1271816103">
    <w:abstractNumId w:val="26"/>
  </w:num>
  <w:num w:numId="34" w16cid:durableId="660238392">
    <w:abstractNumId w:val="29"/>
  </w:num>
  <w:num w:numId="35" w16cid:durableId="1529754056">
    <w:abstractNumId w:val="7"/>
  </w:num>
  <w:num w:numId="36" w16cid:durableId="1315183170">
    <w:abstractNumId w:val="7"/>
  </w:num>
  <w:num w:numId="37" w16cid:durableId="1078407464">
    <w:abstractNumId w:val="21"/>
  </w:num>
  <w:num w:numId="38" w16cid:durableId="2058788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50"/>
    <w:rsid w:val="00000C1C"/>
    <w:rsid w:val="000040EC"/>
    <w:rsid w:val="000062D5"/>
    <w:rsid w:val="00006334"/>
    <w:rsid w:val="00006A41"/>
    <w:rsid w:val="00010D03"/>
    <w:rsid w:val="00015100"/>
    <w:rsid w:val="00020FD5"/>
    <w:rsid w:val="00022BA3"/>
    <w:rsid w:val="00023061"/>
    <w:rsid w:val="0002690B"/>
    <w:rsid w:val="00036A62"/>
    <w:rsid w:val="00041AC5"/>
    <w:rsid w:val="00043067"/>
    <w:rsid w:val="000438AE"/>
    <w:rsid w:val="00056389"/>
    <w:rsid w:val="00056526"/>
    <w:rsid w:val="00063586"/>
    <w:rsid w:val="00063FED"/>
    <w:rsid w:val="00066408"/>
    <w:rsid w:val="000702C2"/>
    <w:rsid w:val="00070FBE"/>
    <w:rsid w:val="00074952"/>
    <w:rsid w:val="000804F7"/>
    <w:rsid w:val="000804F8"/>
    <w:rsid w:val="0008164E"/>
    <w:rsid w:val="00085C9F"/>
    <w:rsid w:val="00087332"/>
    <w:rsid w:val="00095735"/>
    <w:rsid w:val="000A1483"/>
    <w:rsid w:val="000A4C8F"/>
    <w:rsid w:val="000A62D8"/>
    <w:rsid w:val="000A6810"/>
    <w:rsid w:val="000A69B9"/>
    <w:rsid w:val="000B0446"/>
    <w:rsid w:val="000B288B"/>
    <w:rsid w:val="000B28AA"/>
    <w:rsid w:val="000B33D9"/>
    <w:rsid w:val="000B3920"/>
    <w:rsid w:val="000B67AC"/>
    <w:rsid w:val="000B7434"/>
    <w:rsid w:val="000B7903"/>
    <w:rsid w:val="000B7F51"/>
    <w:rsid w:val="000C02BB"/>
    <w:rsid w:val="000C6109"/>
    <w:rsid w:val="000C72D7"/>
    <w:rsid w:val="000D3040"/>
    <w:rsid w:val="000E11F7"/>
    <w:rsid w:val="000E1CE0"/>
    <w:rsid w:val="000E2873"/>
    <w:rsid w:val="000E3FAE"/>
    <w:rsid w:val="000E7565"/>
    <w:rsid w:val="000F0225"/>
    <w:rsid w:val="000F1011"/>
    <w:rsid w:val="000F26C8"/>
    <w:rsid w:val="000F2710"/>
    <w:rsid w:val="000F2856"/>
    <w:rsid w:val="000F5EB0"/>
    <w:rsid w:val="0010445F"/>
    <w:rsid w:val="00105F00"/>
    <w:rsid w:val="00111C98"/>
    <w:rsid w:val="00112B08"/>
    <w:rsid w:val="00115511"/>
    <w:rsid w:val="00115C2E"/>
    <w:rsid w:val="00117DAE"/>
    <w:rsid w:val="0012009C"/>
    <w:rsid w:val="00122723"/>
    <w:rsid w:val="0012417F"/>
    <w:rsid w:val="001255E3"/>
    <w:rsid w:val="00126DAD"/>
    <w:rsid w:val="00127199"/>
    <w:rsid w:val="001315B6"/>
    <w:rsid w:val="0013354D"/>
    <w:rsid w:val="00145D47"/>
    <w:rsid w:val="0014726B"/>
    <w:rsid w:val="0015217B"/>
    <w:rsid w:val="00155D23"/>
    <w:rsid w:val="0015636B"/>
    <w:rsid w:val="00156765"/>
    <w:rsid w:val="001617B3"/>
    <w:rsid w:val="00162FBB"/>
    <w:rsid w:val="00165ABC"/>
    <w:rsid w:val="00174150"/>
    <w:rsid w:val="00181058"/>
    <w:rsid w:val="00181CC8"/>
    <w:rsid w:val="001830BF"/>
    <w:rsid w:val="001836C0"/>
    <w:rsid w:val="00185ED0"/>
    <w:rsid w:val="00187BAA"/>
    <w:rsid w:val="001901A6"/>
    <w:rsid w:val="00190257"/>
    <w:rsid w:val="001907A2"/>
    <w:rsid w:val="00190A60"/>
    <w:rsid w:val="00191022"/>
    <w:rsid w:val="00192C5A"/>
    <w:rsid w:val="00194470"/>
    <w:rsid w:val="001A092E"/>
    <w:rsid w:val="001A26D8"/>
    <w:rsid w:val="001A2DF0"/>
    <w:rsid w:val="001A4AA3"/>
    <w:rsid w:val="001A61B0"/>
    <w:rsid w:val="001B1470"/>
    <w:rsid w:val="001B2B0C"/>
    <w:rsid w:val="001B4C4E"/>
    <w:rsid w:val="001B6282"/>
    <w:rsid w:val="001C13F1"/>
    <w:rsid w:val="001C7A6D"/>
    <w:rsid w:val="001D07B2"/>
    <w:rsid w:val="001D278B"/>
    <w:rsid w:val="001D33F6"/>
    <w:rsid w:val="001D66EA"/>
    <w:rsid w:val="001D7BCE"/>
    <w:rsid w:val="001E1DB6"/>
    <w:rsid w:val="001E25B0"/>
    <w:rsid w:val="001E3AC0"/>
    <w:rsid w:val="001E56BE"/>
    <w:rsid w:val="001F1EC3"/>
    <w:rsid w:val="001F4C9C"/>
    <w:rsid w:val="00201C7E"/>
    <w:rsid w:val="00203E7E"/>
    <w:rsid w:val="0020481B"/>
    <w:rsid w:val="00213893"/>
    <w:rsid w:val="00213F8D"/>
    <w:rsid w:val="00214FBD"/>
    <w:rsid w:val="0021574C"/>
    <w:rsid w:val="00232472"/>
    <w:rsid w:val="00232BE2"/>
    <w:rsid w:val="00235118"/>
    <w:rsid w:val="00235746"/>
    <w:rsid w:val="00235CC3"/>
    <w:rsid w:val="00235E84"/>
    <w:rsid w:val="002378BC"/>
    <w:rsid w:val="00237DC3"/>
    <w:rsid w:val="0024127B"/>
    <w:rsid w:val="0024162F"/>
    <w:rsid w:val="00242399"/>
    <w:rsid w:val="00243948"/>
    <w:rsid w:val="00243A7A"/>
    <w:rsid w:val="00245A62"/>
    <w:rsid w:val="002476F1"/>
    <w:rsid w:val="00250A1F"/>
    <w:rsid w:val="00252C23"/>
    <w:rsid w:val="00253379"/>
    <w:rsid w:val="00253A19"/>
    <w:rsid w:val="0026124F"/>
    <w:rsid w:val="00264C15"/>
    <w:rsid w:val="002651A2"/>
    <w:rsid w:val="00270D13"/>
    <w:rsid w:val="0027656C"/>
    <w:rsid w:val="00281352"/>
    <w:rsid w:val="002817BB"/>
    <w:rsid w:val="0028257F"/>
    <w:rsid w:val="002850F7"/>
    <w:rsid w:val="00292238"/>
    <w:rsid w:val="00296AB3"/>
    <w:rsid w:val="00296E8C"/>
    <w:rsid w:val="002A01CF"/>
    <w:rsid w:val="002A72C9"/>
    <w:rsid w:val="002B1E2C"/>
    <w:rsid w:val="002B30D1"/>
    <w:rsid w:val="002B3F09"/>
    <w:rsid w:val="002B4D6D"/>
    <w:rsid w:val="002B4D97"/>
    <w:rsid w:val="002B64C2"/>
    <w:rsid w:val="002C03EB"/>
    <w:rsid w:val="002C15EA"/>
    <w:rsid w:val="002C349C"/>
    <w:rsid w:val="002C7A94"/>
    <w:rsid w:val="002D0E95"/>
    <w:rsid w:val="002D6697"/>
    <w:rsid w:val="002E453E"/>
    <w:rsid w:val="002E52B9"/>
    <w:rsid w:val="002E6327"/>
    <w:rsid w:val="002E6A76"/>
    <w:rsid w:val="002E7049"/>
    <w:rsid w:val="002E7CF3"/>
    <w:rsid w:val="002F408B"/>
    <w:rsid w:val="002F43A1"/>
    <w:rsid w:val="002F5310"/>
    <w:rsid w:val="003028FA"/>
    <w:rsid w:val="003053CC"/>
    <w:rsid w:val="00311886"/>
    <w:rsid w:val="00313BCC"/>
    <w:rsid w:val="00313CD9"/>
    <w:rsid w:val="00321C75"/>
    <w:rsid w:val="00322388"/>
    <w:rsid w:val="003250CB"/>
    <w:rsid w:val="00326F03"/>
    <w:rsid w:val="00333F3C"/>
    <w:rsid w:val="00337098"/>
    <w:rsid w:val="003374D6"/>
    <w:rsid w:val="003413B6"/>
    <w:rsid w:val="003421C2"/>
    <w:rsid w:val="00343904"/>
    <w:rsid w:val="003505EC"/>
    <w:rsid w:val="00353224"/>
    <w:rsid w:val="003536B6"/>
    <w:rsid w:val="00353B45"/>
    <w:rsid w:val="00353F81"/>
    <w:rsid w:val="00365378"/>
    <w:rsid w:val="0036702D"/>
    <w:rsid w:val="003675E5"/>
    <w:rsid w:val="00367FD9"/>
    <w:rsid w:val="003767F6"/>
    <w:rsid w:val="003775E4"/>
    <w:rsid w:val="003813D0"/>
    <w:rsid w:val="00385730"/>
    <w:rsid w:val="003911CD"/>
    <w:rsid w:val="0039701A"/>
    <w:rsid w:val="003974F3"/>
    <w:rsid w:val="003A2E6D"/>
    <w:rsid w:val="003A37AD"/>
    <w:rsid w:val="003A6B4D"/>
    <w:rsid w:val="003B03C7"/>
    <w:rsid w:val="003B2BC0"/>
    <w:rsid w:val="003B4047"/>
    <w:rsid w:val="003B77DE"/>
    <w:rsid w:val="003C148A"/>
    <w:rsid w:val="003C2963"/>
    <w:rsid w:val="003C3756"/>
    <w:rsid w:val="003C71A1"/>
    <w:rsid w:val="003C7A38"/>
    <w:rsid w:val="003C7B8F"/>
    <w:rsid w:val="003D13C1"/>
    <w:rsid w:val="003D4CA5"/>
    <w:rsid w:val="003D6805"/>
    <w:rsid w:val="003F2C02"/>
    <w:rsid w:val="003F300E"/>
    <w:rsid w:val="003F31C2"/>
    <w:rsid w:val="003F4E89"/>
    <w:rsid w:val="003F4EA3"/>
    <w:rsid w:val="00400C38"/>
    <w:rsid w:val="00403D14"/>
    <w:rsid w:val="00405061"/>
    <w:rsid w:val="00406C87"/>
    <w:rsid w:val="0041092E"/>
    <w:rsid w:val="00410EB7"/>
    <w:rsid w:val="00416A2F"/>
    <w:rsid w:val="00420CDA"/>
    <w:rsid w:val="0042217C"/>
    <w:rsid w:val="00426021"/>
    <w:rsid w:val="004278B1"/>
    <w:rsid w:val="0043132F"/>
    <w:rsid w:val="0043509E"/>
    <w:rsid w:val="004363C2"/>
    <w:rsid w:val="00440420"/>
    <w:rsid w:val="00441990"/>
    <w:rsid w:val="004434FE"/>
    <w:rsid w:val="00447DE1"/>
    <w:rsid w:val="0045010A"/>
    <w:rsid w:val="004515A8"/>
    <w:rsid w:val="00455580"/>
    <w:rsid w:val="004566DC"/>
    <w:rsid w:val="00457AE2"/>
    <w:rsid w:val="004604E2"/>
    <w:rsid w:val="004637C4"/>
    <w:rsid w:val="004742EC"/>
    <w:rsid w:val="004745E3"/>
    <w:rsid w:val="00475113"/>
    <w:rsid w:val="00475DF5"/>
    <w:rsid w:val="004844FE"/>
    <w:rsid w:val="0048494C"/>
    <w:rsid w:val="00485270"/>
    <w:rsid w:val="004863F1"/>
    <w:rsid w:val="0048765C"/>
    <w:rsid w:val="004918EC"/>
    <w:rsid w:val="004924A9"/>
    <w:rsid w:val="0049372F"/>
    <w:rsid w:val="00494211"/>
    <w:rsid w:val="00494822"/>
    <w:rsid w:val="004957D9"/>
    <w:rsid w:val="00496E28"/>
    <w:rsid w:val="00497160"/>
    <w:rsid w:val="004A136F"/>
    <w:rsid w:val="004A1CCB"/>
    <w:rsid w:val="004A2A31"/>
    <w:rsid w:val="004A559C"/>
    <w:rsid w:val="004A6195"/>
    <w:rsid w:val="004A688F"/>
    <w:rsid w:val="004B0689"/>
    <w:rsid w:val="004B2503"/>
    <w:rsid w:val="004B2B3B"/>
    <w:rsid w:val="004B3BBE"/>
    <w:rsid w:val="004B3CFA"/>
    <w:rsid w:val="004B4A64"/>
    <w:rsid w:val="004B68D2"/>
    <w:rsid w:val="004B7A9D"/>
    <w:rsid w:val="004C014E"/>
    <w:rsid w:val="004C0984"/>
    <w:rsid w:val="004C27B5"/>
    <w:rsid w:val="004C3A41"/>
    <w:rsid w:val="004C5FB1"/>
    <w:rsid w:val="004D0C21"/>
    <w:rsid w:val="004D1616"/>
    <w:rsid w:val="004D68AA"/>
    <w:rsid w:val="004E0BD4"/>
    <w:rsid w:val="004E3D61"/>
    <w:rsid w:val="004E4C60"/>
    <w:rsid w:val="004E51E7"/>
    <w:rsid w:val="004F245C"/>
    <w:rsid w:val="00502385"/>
    <w:rsid w:val="005069A3"/>
    <w:rsid w:val="005123CB"/>
    <w:rsid w:val="005137FC"/>
    <w:rsid w:val="00514178"/>
    <w:rsid w:val="0051555F"/>
    <w:rsid w:val="005172EB"/>
    <w:rsid w:val="00521661"/>
    <w:rsid w:val="0052250E"/>
    <w:rsid w:val="00533C39"/>
    <w:rsid w:val="00533C57"/>
    <w:rsid w:val="0053450B"/>
    <w:rsid w:val="00534B72"/>
    <w:rsid w:val="00540668"/>
    <w:rsid w:val="00540BFC"/>
    <w:rsid w:val="005462A2"/>
    <w:rsid w:val="00550DA7"/>
    <w:rsid w:val="00552F70"/>
    <w:rsid w:val="00554156"/>
    <w:rsid w:val="00554878"/>
    <w:rsid w:val="00554C45"/>
    <w:rsid w:val="00554E3F"/>
    <w:rsid w:val="00556549"/>
    <w:rsid w:val="005568DA"/>
    <w:rsid w:val="00563758"/>
    <w:rsid w:val="00564A32"/>
    <w:rsid w:val="00574D15"/>
    <w:rsid w:val="00581101"/>
    <w:rsid w:val="005819B5"/>
    <w:rsid w:val="0058225B"/>
    <w:rsid w:val="00584378"/>
    <w:rsid w:val="005851FC"/>
    <w:rsid w:val="00585EE8"/>
    <w:rsid w:val="005871F5"/>
    <w:rsid w:val="00591445"/>
    <w:rsid w:val="00593E7E"/>
    <w:rsid w:val="00593FA7"/>
    <w:rsid w:val="00595F50"/>
    <w:rsid w:val="00597565"/>
    <w:rsid w:val="00597E73"/>
    <w:rsid w:val="005A0E18"/>
    <w:rsid w:val="005A2058"/>
    <w:rsid w:val="005A2218"/>
    <w:rsid w:val="005A283B"/>
    <w:rsid w:val="005A3009"/>
    <w:rsid w:val="005A4A50"/>
    <w:rsid w:val="005A5E0C"/>
    <w:rsid w:val="005A6B7F"/>
    <w:rsid w:val="005A7917"/>
    <w:rsid w:val="005B1085"/>
    <w:rsid w:val="005B1FFD"/>
    <w:rsid w:val="005B319E"/>
    <w:rsid w:val="005B3FFA"/>
    <w:rsid w:val="005B5B7E"/>
    <w:rsid w:val="005C13C4"/>
    <w:rsid w:val="005C574F"/>
    <w:rsid w:val="005C6D4D"/>
    <w:rsid w:val="005C7BA3"/>
    <w:rsid w:val="005D40C5"/>
    <w:rsid w:val="005D51F2"/>
    <w:rsid w:val="005D5CAA"/>
    <w:rsid w:val="005D65D3"/>
    <w:rsid w:val="005F029A"/>
    <w:rsid w:val="005F46C1"/>
    <w:rsid w:val="005F6882"/>
    <w:rsid w:val="005F79CC"/>
    <w:rsid w:val="00604F36"/>
    <w:rsid w:val="00605EDC"/>
    <w:rsid w:val="0061191C"/>
    <w:rsid w:val="00612F7B"/>
    <w:rsid w:val="00620619"/>
    <w:rsid w:val="00620BDC"/>
    <w:rsid w:val="006213B5"/>
    <w:rsid w:val="006221BD"/>
    <w:rsid w:val="006227FE"/>
    <w:rsid w:val="006237F0"/>
    <w:rsid w:val="00624287"/>
    <w:rsid w:val="006247A1"/>
    <w:rsid w:val="006314ED"/>
    <w:rsid w:val="00634E2D"/>
    <w:rsid w:val="00637064"/>
    <w:rsid w:val="00640B67"/>
    <w:rsid w:val="006416F0"/>
    <w:rsid w:val="00643D23"/>
    <w:rsid w:val="00645D0A"/>
    <w:rsid w:val="00645E64"/>
    <w:rsid w:val="006464AD"/>
    <w:rsid w:val="0064741D"/>
    <w:rsid w:val="00653107"/>
    <w:rsid w:val="00653641"/>
    <w:rsid w:val="00655240"/>
    <w:rsid w:val="006564E7"/>
    <w:rsid w:val="0066166D"/>
    <w:rsid w:val="0066323D"/>
    <w:rsid w:val="00663CF2"/>
    <w:rsid w:val="00664816"/>
    <w:rsid w:val="00664DFD"/>
    <w:rsid w:val="006675F1"/>
    <w:rsid w:val="00670310"/>
    <w:rsid w:val="006709A3"/>
    <w:rsid w:val="00673D5C"/>
    <w:rsid w:val="00673EE4"/>
    <w:rsid w:val="00675E8A"/>
    <w:rsid w:val="00676DDD"/>
    <w:rsid w:val="0068256C"/>
    <w:rsid w:val="00687936"/>
    <w:rsid w:val="00693410"/>
    <w:rsid w:val="00693B11"/>
    <w:rsid w:val="0069617D"/>
    <w:rsid w:val="00696FA6"/>
    <w:rsid w:val="006A144C"/>
    <w:rsid w:val="006A20A3"/>
    <w:rsid w:val="006A55E1"/>
    <w:rsid w:val="006B2870"/>
    <w:rsid w:val="006B4949"/>
    <w:rsid w:val="006B5CCB"/>
    <w:rsid w:val="006B6A76"/>
    <w:rsid w:val="006C002C"/>
    <w:rsid w:val="006C1737"/>
    <w:rsid w:val="006D0965"/>
    <w:rsid w:val="006D21DA"/>
    <w:rsid w:val="006E0192"/>
    <w:rsid w:val="006E1CD5"/>
    <w:rsid w:val="006E320C"/>
    <w:rsid w:val="006E4D11"/>
    <w:rsid w:val="006E7E80"/>
    <w:rsid w:val="006F13D5"/>
    <w:rsid w:val="006F2001"/>
    <w:rsid w:val="006F21B9"/>
    <w:rsid w:val="006F42A5"/>
    <w:rsid w:val="006F55A0"/>
    <w:rsid w:val="00704FC1"/>
    <w:rsid w:val="00711564"/>
    <w:rsid w:val="007115EB"/>
    <w:rsid w:val="00711B59"/>
    <w:rsid w:val="00716B3E"/>
    <w:rsid w:val="00717B74"/>
    <w:rsid w:val="00730C4B"/>
    <w:rsid w:val="00742C93"/>
    <w:rsid w:val="00743988"/>
    <w:rsid w:val="00746635"/>
    <w:rsid w:val="0075017F"/>
    <w:rsid w:val="00751F6A"/>
    <w:rsid w:val="00752EF6"/>
    <w:rsid w:val="00756369"/>
    <w:rsid w:val="007572D2"/>
    <w:rsid w:val="0076172E"/>
    <w:rsid w:val="00761DFA"/>
    <w:rsid w:val="00762502"/>
    <w:rsid w:val="0076331D"/>
    <w:rsid w:val="00764718"/>
    <w:rsid w:val="0076523B"/>
    <w:rsid w:val="00770A68"/>
    <w:rsid w:val="00770FE3"/>
    <w:rsid w:val="00772F53"/>
    <w:rsid w:val="00772FE9"/>
    <w:rsid w:val="00773B5A"/>
    <w:rsid w:val="00774B82"/>
    <w:rsid w:val="007810B9"/>
    <w:rsid w:val="007875F2"/>
    <w:rsid w:val="007A3227"/>
    <w:rsid w:val="007B2385"/>
    <w:rsid w:val="007B37CA"/>
    <w:rsid w:val="007B43C1"/>
    <w:rsid w:val="007B5078"/>
    <w:rsid w:val="007C4737"/>
    <w:rsid w:val="007C5A00"/>
    <w:rsid w:val="007C7B08"/>
    <w:rsid w:val="007D53AE"/>
    <w:rsid w:val="007E1D1D"/>
    <w:rsid w:val="007E454F"/>
    <w:rsid w:val="007F06B5"/>
    <w:rsid w:val="007F15BF"/>
    <w:rsid w:val="007F3D50"/>
    <w:rsid w:val="0080004C"/>
    <w:rsid w:val="00802EEC"/>
    <w:rsid w:val="008030E6"/>
    <w:rsid w:val="0081208A"/>
    <w:rsid w:val="00813AE9"/>
    <w:rsid w:val="0081496C"/>
    <w:rsid w:val="00814D66"/>
    <w:rsid w:val="00816BDA"/>
    <w:rsid w:val="00823B48"/>
    <w:rsid w:val="00823E60"/>
    <w:rsid w:val="00826D4B"/>
    <w:rsid w:val="00831635"/>
    <w:rsid w:val="008324EE"/>
    <w:rsid w:val="00840577"/>
    <w:rsid w:val="00842477"/>
    <w:rsid w:val="008450BB"/>
    <w:rsid w:val="008473DD"/>
    <w:rsid w:val="0085036D"/>
    <w:rsid w:val="00852E36"/>
    <w:rsid w:val="00854CB4"/>
    <w:rsid w:val="0086183D"/>
    <w:rsid w:val="00862BC4"/>
    <w:rsid w:val="00865FB6"/>
    <w:rsid w:val="008728CB"/>
    <w:rsid w:val="00872F6E"/>
    <w:rsid w:val="008738A2"/>
    <w:rsid w:val="00877085"/>
    <w:rsid w:val="00880618"/>
    <w:rsid w:val="00881275"/>
    <w:rsid w:val="008818D0"/>
    <w:rsid w:val="00883E18"/>
    <w:rsid w:val="00886704"/>
    <w:rsid w:val="00887292"/>
    <w:rsid w:val="00894AE2"/>
    <w:rsid w:val="008962C9"/>
    <w:rsid w:val="0089664F"/>
    <w:rsid w:val="0089783F"/>
    <w:rsid w:val="008A0D46"/>
    <w:rsid w:val="008A13C4"/>
    <w:rsid w:val="008A1E24"/>
    <w:rsid w:val="008A205E"/>
    <w:rsid w:val="008A48D4"/>
    <w:rsid w:val="008A5D20"/>
    <w:rsid w:val="008A6B24"/>
    <w:rsid w:val="008B044D"/>
    <w:rsid w:val="008B1CA4"/>
    <w:rsid w:val="008B4D69"/>
    <w:rsid w:val="008B5109"/>
    <w:rsid w:val="008B5956"/>
    <w:rsid w:val="008C3B8C"/>
    <w:rsid w:val="008D2060"/>
    <w:rsid w:val="008D2726"/>
    <w:rsid w:val="008D365E"/>
    <w:rsid w:val="008D4055"/>
    <w:rsid w:val="008D6468"/>
    <w:rsid w:val="008D7B98"/>
    <w:rsid w:val="008E04FB"/>
    <w:rsid w:val="008E27B8"/>
    <w:rsid w:val="008E6CAE"/>
    <w:rsid w:val="008F022E"/>
    <w:rsid w:val="008F04EC"/>
    <w:rsid w:val="0090147B"/>
    <w:rsid w:val="00903E04"/>
    <w:rsid w:val="0090563A"/>
    <w:rsid w:val="00907264"/>
    <w:rsid w:val="00910967"/>
    <w:rsid w:val="00914C50"/>
    <w:rsid w:val="00916DDD"/>
    <w:rsid w:val="00917A27"/>
    <w:rsid w:val="009210FA"/>
    <w:rsid w:val="00921C33"/>
    <w:rsid w:val="00921D8D"/>
    <w:rsid w:val="00921EC3"/>
    <w:rsid w:val="00923A3B"/>
    <w:rsid w:val="009252DE"/>
    <w:rsid w:val="00925815"/>
    <w:rsid w:val="00927793"/>
    <w:rsid w:val="00930B0F"/>
    <w:rsid w:val="00940674"/>
    <w:rsid w:val="0094146C"/>
    <w:rsid w:val="0094190F"/>
    <w:rsid w:val="0094284A"/>
    <w:rsid w:val="00942DB8"/>
    <w:rsid w:val="00945EC9"/>
    <w:rsid w:val="0094672B"/>
    <w:rsid w:val="009503AB"/>
    <w:rsid w:val="00955AAC"/>
    <w:rsid w:val="00956AEF"/>
    <w:rsid w:val="009577B8"/>
    <w:rsid w:val="00962081"/>
    <w:rsid w:val="00962BD2"/>
    <w:rsid w:val="009630D7"/>
    <w:rsid w:val="009675CC"/>
    <w:rsid w:val="00970A87"/>
    <w:rsid w:val="00972D16"/>
    <w:rsid w:val="00973606"/>
    <w:rsid w:val="00973922"/>
    <w:rsid w:val="00981597"/>
    <w:rsid w:val="009907B4"/>
    <w:rsid w:val="00991DCE"/>
    <w:rsid w:val="00994797"/>
    <w:rsid w:val="009978E0"/>
    <w:rsid w:val="009A20FB"/>
    <w:rsid w:val="009B07A3"/>
    <w:rsid w:val="009B19FF"/>
    <w:rsid w:val="009B1B2E"/>
    <w:rsid w:val="009B1C36"/>
    <w:rsid w:val="009B2969"/>
    <w:rsid w:val="009B38F1"/>
    <w:rsid w:val="009B5B33"/>
    <w:rsid w:val="009B61A6"/>
    <w:rsid w:val="009B772D"/>
    <w:rsid w:val="009C416E"/>
    <w:rsid w:val="009D57CB"/>
    <w:rsid w:val="009E4702"/>
    <w:rsid w:val="009E59A3"/>
    <w:rsid w:val="009E6D3F"/>
    <w:rsid w:val="009F7595"/>
    <w:rsid w:val="00A00F9E"/>
    <w:rsid w:val="00A0141A"/>
    <w:rsid w:val="00A03CDA"/>
    <w:rsid w:val="00A10208"/>
    <w:rsid w:val="00A10DCA"/>
    <w:rsid w:val="00A12DA7"/>
    <w:rsid w:val="00A17250"/>
    <w:rsid w:val="00A217C5"/>
    <w:rsid w:val="00A23E26"/>
    <w:rsid w:val="00A24A39"/>
    <w:rsid w:val="00A24DED"/>
    <w:rsid w:val="00A25C68"/>
    <w:rsid w:val="00A260CD"/>
    <w:rsid w:val="00A27860"/>
    <w:rsid w:val="00A33EBC"/>
    <w:rsid w:val="00A3633A"/>
    <w:rsid w:val="00A3643C"/>
    <w:rsid w:val="00A36D85"/>
    <w:rsid w:val="00A374B0"/>
    <w:rsid w:val="00A400CF"/>
    <w:rsid w:val="00A40BC7"/>
    <w:rsid w:val="00A41FA1"/>
    <w:rsid w:val="00A42DCB"/>
    <w:rsid w:val="00A42EAC"/>
    <w:rsid w:val="00A45656"/>
    <w:rsid w:val="00A46BA4"/>
    <w:rsid w:val="00A47B37"/>
    <w:rsid w:val="00A50A9B"/>
    <w:rsid w:val="00A50BB5"/>
    <w:rsid w:val="00A51D61"/>
    <w:rsid w:val="00A53FE1"/>
    <w:rsid w:val="00A54D0A"/>
    <w:rsid w:val="00A561D5"/>
    <w:rsid w:val="00A56B88"/>
    <w:rsid w:val="00A5723A"/>
    <w:rsid w:val="00A57256"/>
    <w:rsid w:val="00A61715"/>
    <w:rsid w:val="00A6218F"/>
    <w:rsid w:val="00A638E9"/>
    <w:rsid w:val="00A7027D"/>
    <w:rsid w:val="00A876AB"/>
    <w:rsid w:val="00A9171F"/>
    <w:rsid w:val="00A920E2"/>
    <w:rsid w:val="00A939B3"/>
    <w:rsid w:val="00A93D32"/>
    <w:rsid w:val="00A93EFD"/>
    <w:rsid w:val="00A96F65"/>
    <w:rsid w:val="00A96F8D"/>
    <w:rsid w:val="00AA2E5F"/>
    <w:rsid w:val="00AA3BAC"/>
    <w:rsid w:val="00AB06F2"/>
    <w:rsid w:val="00AB3318"/>
    <w:rsid w:val="00AB37EF"/>
    <w:rsid w:val="00AB5CB2"/>
    <w:rsid w:val="00AC2F76"/>
    <w:rsid w:val="00AC6ADE"/>
    <w:rsid w:val="00AC7E75"/>
    <w:rsid w:val="00AD3D77"/>
    <w:rsid w:val="00AE2A75"/>
    <w:rsid w:val="00AE623C"/>
    <w:rsid w:val="00AE739B"/>
    <w:rsid w:val="00AE7BBB"/>
    <w:rsid w:val="00AF1C1A"/>
    <w:rsid w:val="00B01F8A"/>
    <w:rsid w:val="00B02E5C"/>
    <w:rsid w:val="00B0423F"/>
    <w:rsid w:val="00B15DAE"/>
    <w:rsid w:val="00B1741F"/>
    <w:rsid w:val="00B200A0"/>
    <w:rsid w:val="00B21CD3"/>
    <w:rsid w:val="00B22DD7"/>
    <w:rsid w:val="00B4578E"/>
    <w:rsid w:val="00B45C9F"/>
    <w:rsid w:val="00B51A4F"/>
    <w:rsid w:val="00B51AA8"/>
    <w:rsid w:val="00B51EC2"/>
    <w:rsid w:val="00B52627"/>
    <w:rsid w:val="00B53332"/>
    <w:rsid w:val="00B556A4"/>
    <w:rsid w:val="00B56CF8"/>
    <w:rsid w:val="00B56DAE"/>
    <w:rsid w:val="00B5713B"/>
    <w:rsid w:val="00B71CCD"/>
    <w:rsid w:val="00B73EC9"/>
    <w:rsid w:val="00B80C25"/>
    <w:rsid w:val="00B83AD8"/>
    <w:rsid w:val="00B842A2"/>
    <w:rsid w:val="00B8436B"/>
    <w:rsid w:val="00B853DD"/>
    <w:rsid w:val="00B86A48"/>
    <w:rsid w:val="00B87E0D"/>
    <w:rsid w:val="00B90AB4"/>
    <w:rsid w:val="00B94253"/>
    <w:rsid w:val="00B94682"/>
    <w:rsid w:val="00BA5095"/>
    <w:rsid w:val="00BA5360"/>
    <w:rsid w:val="00BA71CC"/>
    <w:rsid w:val="00BA73E0"/>
    <w:rsid w:val="00BA7C94"/>
    <w:rsid w:val="00BB5AF9"/>
    <w:rsid w:val="00BB6515"/>
    <w:rsid w:val="00BB6E9B"/>
    <w:rsid w:val="00BB7EEE"/>
    <w:rsid w:val="00BC18C1"/>
    <w:rsid w:val="00BC1B45"/>
    <w:rsid w:val="00BC3316"/>
    <w:rsid w:val="00BD07AC"/>
    <w:rsid w:val="00BD24D4"/>
    <w:rsid w:val="00BD2997"/>
    <w:rsid w:val="00BD5276"/>
    <w:rsid w:val="00BD5928"/>
    <w:rsid w:val="00BE2F92"/>
    <w:rsid w:val="00BF15F4"/>
    <w:rsid w:val="00BF3C4F"/>
    <w:rsid w:val="00BF7B23"/>
    <w:rsid w:val="00C04E54"/>
    <w:rsid w:val="00C07C71"/>
    <w:rsid w:val="00C10C5D"/>
    <w:rsid w:val="00C12E02"/>
    <w:rsid w:val="00C1685A"/>
    <w:rsid w:val="00C16C7B"/>
    <w:rsid w:val="00C16EAC"/>
    <w:rsid w:val="00C26A10"/>
    <w:rsid w:val="00C277C6"/>
    <w:rsid w:val="00C35921"/>
    <w:rsid w:val="00C421BC"/>
    <w:rsid w:val="00C42DE1"/>
    <w:rsid w:val="00C45CDE"/>
    <w:rsid w:val="00C51BC2"/>
    <w:rsid w:val="00C51C71"/>
    <w:rsid w:val="00C53029"/>
    <w:rsid w:val="00C53353"/>
    <w:rsid w:val="00C53522"/>
    <w:rsid w:val="00C54695"/>
    <w:rsid w:val="00C54A56"/>
    <w:rsid w:val="00C54A82"/>
    <w:rsid w:val="00C55362"/>
    <w:rsid w:val="00C5762A"/>
    <w:rsid w:val="00C61E5B"/>
    <w:rsid w:val="00C63816"/>
    <w:rsid w:val="00C67C6F"/>
    <w:rsid w:val="00C72AC2"/>
    <w:rsid w:val="00C72B9D"/>
    <w:rsid w:val="00C73F98"/>
    <w:rsid w:val="00C806B6"/>
    <w:rsid w:val="00C822F1"/>
    <w:rsid w:val="00C9014B"/>
    <w:rsid w:val="00C9119B"/>
    <w:rsid w:val="00C912B4"/>
    <w:rsid w:val="00C9181E"/>
    <w:rsid w:val="00C95D66"/>
    <w:rsid w:val="00C96262"/>
    <w:rsid w:val="00CA0072"/>
    <w:rsid w:val="00CA10D2"/>
    <w:rsid w:val="00CA2AFA"/>
    <w:rsid w:val="00CA2E01"/>
    <w:rsid w:val="00CA5C7E"/>
    <w:rsid w:val="00CA7548"/>
    <w:rsid w:val="00CB1794"/>
    <w:rsid w:val="00CB3959"/>
    <w:rsid w:val="00CB4CA9"/>
    <w:rsid w:val="00CB7028"/>
    <w:rsid w:val="00CC1AD1"/>
    <w:rsid w:val="00CC35CF"/>
    <w:rsid w:val="00CC4C8E"/>
    <w:rsid w:val="00CC52B7"/>
    <w:rsid w:val="00CC7365"/>
    <w:rsid w:val="00CD40A0"/>
    <w:rsid w:val="00CD5629"/>
    <w:rsid w:val="00CD62D5"/>
    <w:rsid w:val="00CE1A8E"/>
    <w:rsid w:val="00CE3EF5"/>
    <w:rsid w:val="00CE5AA6"/>
    <w:rsid w:val="00CE7414"/>
    <w:rsid w:val="00CE78C6"/>
    <w:rsid w:val="00CE7DA1"/>
    <w:rsid w:val="00CF4D55"/>
    <w:rsid w:val="00CF604D"/>
    <w:rsid w:val="00CF7070"/>
    <w:rsid w:val="00D00AF8"/>
    <w:rsid w:val="00D01D99"/>
    <w:rsid w:val="00D037A9"/>
    <w:rsid w:val="00D05584"/>
    <w:rsid w:val="00D06641"/>
    <w:rsid w:val="00D21A66"/>
    <w:rsid w:val="00D2265C"/>
    <w:rsid w:val="00D24535"/>
    <w:rsid w:val="00D260B5"/>
    <w:rsid w:val="00D302EC"/>
    <w:rsid w:val="00D30AB6"/>
    <w:rsid w:val="00D30B52"/>
    <w:rsid w:val="00D3108C"/>
    <w:rsid w:val="00D316D1"/>
    <w:rsid w:val="00D319A3"/>
    <w:rsid w:val="00D36C22"/>
    <w:rsid w:val="00D41211"/>
    <w:rsid w:val="00D43AA6"/>
    <w:rsid w:val="00D43DA9"/>
    <w:rsid w:val="00D454A7"/>
    <w:rsid w:val="00D463C3"/>
    <w:rsid w:val="00D51749"/>
    <w:rsid w:val="00D53B14"/>
    <w:rsid w:val="00D56965"/>
    <w:rsid w:val="00D57023"/>
    <w:rsid w:val="00D6125B"/>
    <w:rsid w:val="00D63A68"/>
    <w:rsid w:val="00D650AC"/>
    <w:rsid w:val="00D67B9E"/>
    <w:rsid w:val="00D71EB9"/>
    <w:rsid w:val="00D7452E"/>
    <w:rsid w:val="00D84C07"/>
    <w:rsid w:val="00D85A92"/>
    <w:rsid w:val="00D85CD0"/>
    <w:rsid w:val="00D94399"/>
    <w:rsid w:val="00D94832"/>
    <w:rsid w:val="00DA01DE"/>
    <w:rsid w:val="00DA0690"/>
    <w:rsid w:val="00DA2099"/>
    <w:rsid w:val="00DA36A7"/>
    <w:rsid w:val="00DB204A"/>
    <w:rsid w:val="00DB224E"/>
    <w:rsid w:val="00DB53EA"/>
    <w:rsid w:val="00DC0899"/>
    <w:rsid w:val="00DC1C89"/>
    <w:rsid w:val="00DC6C5E"/>
    <w:rsid w:val="00DD2FA6"/>
    <w:rsid w:val="00DD3992"/>
    <w:rsid w:val="00DE5648"/>
    <w:rsid w:val="00DE5CE2"/>
    <w:rsid w:val="00DE6490"/>
    <w:rsid w:val="00DE6A45"/>
    <w:rsid w:val="00DF2789"/>
    <w:rsid w:val="00DF2B87"/>
    <w:rsid w:val="00DF5EBF"/>
    <w:rsid w:val="00E034F1"/>
    <w:rsid w:val="00E1528A"/>
    <w:rsid w:val="00E16B00"/>
    <w:rsid w:val="00E20352"/>
    <w:rsid w:val="00E214B7"/>
    <w:rsid w:val="00E21BC0"/>
    <w:rsid w:val="00E22BEB"/>
    <w:rsid w:val="00E25B95"/>
    <w:rsid w:val="00E276C4"/>
    <w:rsid w:val="00E30D54"/>
    <w:rsid w:val="00E32845"/>
    <w:rsid w:val="00E409D3"/>
    <w:rsid w:val="00E44B20"/>
    <w:rsid w:val="00E475E0"/>
    <w:rsid w:val="00E574BB"/>
    <w:rsid w:val="00E60A05"/>
    <w:rsid w:val="00E61868"/>
    <w:rsid w:val="00E6478A"/>
    <w:rsid w:val="00E75E70"/>
    <w:rsid w:val="00E76C22"/>
    <w:rsid w:val="00E80E37"/>
    <w:rsid w:val="00E924E2"/>
    <w:rsid w:val="00E92BB2"/>
    <w:rsid w:val="00E97AE5"/>
    <w:rsid w:val="00EA15EF"/>
    <w:rsid w:val="00EA2677"/>
    <w:rsid w:val="00EA3AD0"/>
    <w:rsid w:val="00EA5FC9"/>
    <w:rsid w:val="00EA6981"/>
    <w:rsid w:val="00EA76B5"/>
    <w:rsid w:val="00EB01FE"/>
    <w:rsid w:val="00EB1ACE"/>
    <w:rsid w:val="00EB5270"/>
    <w:rsid w:val="00EC3494"/>
    <w:rsid w:val="00EC411C"/>
    <w:rsid w:val="00EC421D"/>
    <w:rsid w:val="00EC5822"/>
    <w:rsid w:val="00ED0A3B"/>
    <w:rsid w:val="00ED17D3"/>
    <w:rsid w:val="00ED46E4"/>
    <w:rsid w:val="00ED549A"/>
    <w:rsid w:val="00ED6312"/>
    <w:rsid w:val="00EE146E"/>
    <w:rsid w:val="00EE5991"/>
    <w:rsid w:val="00EF0A21"/>
    <w:rsid w:val="00EF3449"/>
    <w:rsid w:val="00EF5D93"/>
    <w:rsid w:val="00EF6EBB"/>
    <w:rsid w:val="00F01DE7"/>
    <w:rsid w:val="00F12141"/>
    <w:rsid w:val="00F157BA"/>
    <w:rsid w:val="00F16E44"/>
    <w:rsid w:val="00F172A3"/>
    <w:rsid w:val="00F17E33"/>
    <w:rsid w:val="00F25B72"/>
    <w:rsid w:val="00F32929"/>
    <w:rsid w:val="00F32A4B"/>
    <w:rsid w:val="00F32E0C"/>
    <w:rsid w:val="00F33AB3"/>
    <w:rsid w:val="00F34BC3"/>
    <w:rsid w:val="00F355E4"/>
    <w:rsid w:val="00F41E11"/>
    <w:rsid w:val="00F4292C"/>
    <w:rsid w:val="00F45281"/>
    <w:rsid w:val="00F46363"/>
    <w:rsid w:val="00F4711B"/>
    <w:rsid w:val="00F47A7E"/>
    <w:rsid w:val="00F51B12"/>
    <w:rsid w:val="00F54BC8"/>
    <w:rsid w:val="00F5565C"/>
    <w:rsid w:val="00F55E01"/>
    <w:rsid w:val="00F61F22"/>
    <w:rsid w:val="00F64854"/>
    <w:rsid w:val="00F70773"/>
    <w:rsid w:val="00F70E4B"/>
    <w:rsid w:val="00F722E0"/>
    <w:rsid w:val="00F77328"/>
    <w:rsid w:val="00F810BB"/>
    <w:rsid w:val="00F90FA3"/>
    <w:rsid w:val="00F91969"/>
    <w:rsid w:val="00F95AF9"/>
    <w:rsid w:val="00F96987"/>
    <w:rsid w:val="00F96E2D"/>
    <w:rsid w:val="00F96E6D"/>
    <w:rsid w:val="00FA13FC"/>
    <w:rsid w:val="00FA224B"/>
    <w:rsid w:val="00FA6974"/>
    <w:rsid w:val="00FB1EE5"/>
    <w:rsid w:val="00FB66BF"/>
    <w:rsid w:val="00FC06CA"/>
    <w:rsid w:val="00FC357F"/>
    <w:rsid w:val="00FC372B"/>
    <w:rsid w:val="00FC41E2"/>
    <w:rsid w:val="00FC423D"/>
    <w:rsid w:val="00FC4992"/>
    <w:rsid w:val="00FD1CA7"/>
    <w:rsid w:val="00FD1E78"/>
    <w:rsid w:val="00FD26C0"/>
    <w:rsid w:val="00FD2FD9"/>
    <w:rsid w:val="00FD410E"/>
    <w:rsid w:val="00FD5268"/>
    <w:rsid w:val="00FD53ED"/>
    <w:rsid w:val="00FD6A34"/>
    <w:rsid w:val="00FE0590"/>
    <w:rsid w:val="00FE08E8"/>
    <w:rsid w:val="00FE1EA8"/>
    <w:rsid w:val="00FE4153"/>
    <w:rsid w:val="00FE4DB1"/>
    <w:rsid w:val="00FE6AF6"/>
    <w:rsid w:val="00FF07ED"/>
    <w:rsid w:val="00FF1B61"/>
    <w:rsid w:val="00FF25A6"/>
    <w:rsid w:val="00FF44A9"/>
    <w:rsid w:val="00FF649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90472"/>
  <w15:docId w15:val="{DE592E1C-52EA-4DA0-B1DB-7E3F45BE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Normal" w:uiPriority="2"/>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2" w:semiHidden="1" w:unhideWhenUsed="1"/>
    <w:lsdException w:name="List 3" w:semiHidden="1" w:unhideWhenUsed="1"/>
    <w:lsdException w:name="List Bullet 2" w:semiHidden="1" w:unhideWhenUsed="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rsid w:val="00FD2FD9"/>
    <w:pPr>
      <w:spacing w:after="180"/>
    </w:pPr>
    <w:rPr>
      <w:rFonts w:asciiTheme="minorHAnsi" w:eastAsiaTheme="minorEastAsia" w:hAnsiTheme="minorHAnsi"/>
      <w:color w:val="22272B" w:themeColor="text1"/>
      <w:sz w:val="22"/>
    </w:rPr>
  </w:style>
  <w:style w:type="paragraph" w:styleId="Heading1">
    <w:name w:val="heading 1"/>
    <w:basedOn w:val="Normal"/>
    <w:next w:val="Normal"/>
    <w:link w:val="Heading1Char"/>
    <w:autoRedefine/>
    <w:qFormat/>
    <w:rsid w:val="00CC52B7"/>
    <w:pPr>
      <w:widowControl w:val="0"/>
      <w:suppressAutoHyphens/>
      <w:autoSpaceDE w:val="0"/>
      <w:autoSpaceDN w:val="0"/>
      <w:adjustRightInd w:val="0"/>
      <w:spacing w:before="600" w:after="120"/>
      <w:ind w:right="119"/>
      <w:textAlignment w:val="center"/>
      <w:outlineLvl w:val="0"/>
    </w:pPr>
    <w:rPr>
      <w:rFonts w:asciiTheme="majorHAnsi" w:hAnsiTheme="majorHAnsi" w:cs="Arial"/>
      <w:bCs/>
      <w:noProof/>
      <w:color w:val="002664" w:themeColor="accent1"/>
      <w:sz w:val="44"/>
      <w:szCs w:val="44"/>
    </w:rPr>
  </w:style>
  <w:style w:type="paragraph" w:styleId="Heading2">
    <w:name w:val="heading 2"/>
    <w:basedOn w:val="Normal"/>
    <w:next w:val="Normal"/>
    <w:link w:val="Heading2Char"/>
    <w:autoRedefine/>
    <w:qFormat/>
    <w:rsid w:val="00235CC3"/>
    <w:pPr>
      <w:widowControl w:val="0"/>
      <w:suppressAutoHyphens/>
      <w:autoSpaceDE w:val="0"/>
      <w:autoSpaceDN w:val="0"/>
      <w:adjustRightInd w:val="0"/>
      <w:spacing w:before="120" w:after="0"/>
      <w:ind w:right="1126"/>
      <w:textAlignment w:val="center"/>
      <w:outlineLvl w:val="1"/>
    </w:pPr>
    <w:rPr>
      <w:rFonts w:asciiTheme="majorHAnsi" w:hAnsiTheme="majorHAnsi" w:cs="ArialMT"/>
      <w:color w:val="002664" w:themeColor="accent1"/>
      <w:sz w:val="36"/>
      <w:szCs w:val="36"/>
      <w:lang w:val="en-GB"/>
    </w:rPr>
  </w:style>
  <w:style w:type="paragraph" w:styleId="Heading3">
    <w:name w:val="heading 3"/>
    <w:basedOn w:val="Normal"/>
    <w:next w:val="Normal"/>
    <w:link w:val="Heading3Char"/>
    <w:autoRedefine/>
    <w:qFormat/>
    <w:rsid w:val="00FD2FD9"/>
    <w:pPr>
      <w:keepNext/>
      <w:keepLines/>
      <w:spacing w:before="240" w:after="120"/>
      <w:ind w:right="118"/>
      <w:outlineLvl w:val="2"/>
    </w:pPr>
    <w:rPr>
      <w:rFonts w:ascii="Public Sans SemiBold" w:eastAsia="Times New Roman" w:hAnsi="Public Sans SemiBold"/>
      <w:b/>
      <w:bCs/>
      <w:color w:val="002664" w:themeColor="background2"/>
      <w:lang w:val="en-GB"/>
    </w:rPr>
  </w:style>
  <w:style w:type="paragraph" w:styleId="Heading4">
    <w:name w:val="heading 4"/>
    <w:basedOn w:val="Heading1"/>
    <w:next w:val="Normal"/>
    <w:link w:val="Heading4Char"/>
    <w:autoRedefine/>
    <w:rsid w:val="002C03EB"/>
    <w:pPr>
      <w:spacing w:before="0"/>
      <w:ind w:right="-1077"/>
      <w:outlineLvl w:val="3"/>
    </w:pPr>
    <w:rPr>
      <w:rFonts w:ascii="Public Sans" w:hAnsi="Public Sans"/>
      <w:bCs w:val="0"/>
      <w:sz w:val="28"/>
      <w:szCs w:val="28"/>
    </w:rPr>
  </w:style>
  <w:style w:type="paragraph" w:styleId="Heading7">
    <w:name w:val="heading 7"/>
    <w:basedOn w:val="Normal"/>
    <w:next w:val="Normal"/>
    <w:link w:val="Heading7Char"/>
    <w:semiHidden/>
    <w:unhideWhenUsed/>
    <w:rsid w:val="006314ED"/>
    <w:pPr>
      <w:keepNext/>
      <w:keepLines/>
      <w:spacing w:before="40" w:after="0"/>
      <w:outlineLvl w:val="6"/>
    </w:pPr>
    <w:rPr>
      <w:rFonts w:asciiTheme="majorHAnsi" w:eastAsiaTheme="majorEastAsia" w:hAnsiTheme="majorHAnsi" w:cstheme="majorBidi"/>
      <w:i/>
      <w:iCs/>
      <w:color w:val="0012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2B7"/>
    <w:rPr>
      <w:rFonts w:asciiTheme="majorHAnsi" w:eastAsiaTheme="minorEastAsia" w:hAnsiTheme="majorHAnsi" w:cs="Arial"/>
      <w:bCs/>
      <w:noProof/>
      <w:color w:val="002664" w:themeColor="accent1"/>
      <w:sz w:val="44"/>
      <w:szCs w:val="44"/>
    </w:rPr>
  </w:style>
  <w:style w:type="character" w:customStyle="1" w:styleId="Heading2Char">
    <w:name w:val="Heading 2 Char"/>
    <w:basedOn w:val="DefaultParagraphFont"/>
    <w:link w:val="Heading2"/>
    <w:rsid w:val="00235CC3"/>
    <w:rPr>
      <w:rFonts w:asciiTheme="majorHAnsi" w:eastAsiaTheme="minorEastAsia" w:hAnsiTheme="majorHAnsi" w:cs="ArialMT"/>
      <w:color w:val="002664" w:themeColor="accent1"/>
      <w:sz w:val="36"/>
      <w:szCs w:val="36"/>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nhideWhenUsed/>
    <w:rsid w:val="00E16B00"/>
    <w:pPr>
      <w:tabs>
        <w:tab w:val="center" w:pos="4513"/>
        <w:tab w:val="right" w:pos="9026"/>
      </w:tabs>
      <w:spacing w:after="0"/>
    </w:pPr>
  </w:style>
  <w:style w:type="character" w:customStyle="1" w:styleId="HeaderChar">
    <w:name w:val="Header Char"/>
    <w:basedOn w:val="DefaultParagraphFont"/>
    <w:link w:val="Header"/>
    <w:rsid w:val="00E16B00"/>
    <w:rPr>
      <w:rFonts w:eastAsiaTheme="minorEastAsia"/>
      <w:color w:val="22272B" w:themeColor="text1"/>
      <w:sz w:val="22"/>
    </w:rPr>
  </w:style>
  <w:style w:type="paragraph" w:styleId="Footer">
    <w:name w:val="footer"/>
    <w:basedOn w:val="Normal"/>
    <w:link w:val="FooterChar"/>
    <w:autoRedefine/>
    <w:uiPriority w:val="99"/>
    <w:unhideWhenUsed/>
    <w:rsid w:val="00653641"/>
    <w:pPr>
      <w:tabs>
        <w:tab w:val="left" w:pos="6804"/>
      </w:tabs>
      <w:spacing w:before="120"/>
      <w:ind w:right="118"/>
    </w:pPr>
    <w:rPr>
      <w:rFonts w:ascii="Public Sans" w:hAnsi="Public Sans"/>
      <w:sz w:val="18"/>
      <w:szCs w:val="18"/>
    </w:rPr>
  </w:style>
  <w:style w:type="character" w:customStyle="1" w:styleId="FooterChar">
    <w:name w:val="Footer Char"/>
    <w:basedOn w:val="DefaultParagraphFont"/>
    <w:link w:val="Footer"/>
    <w:uiPriority w:val="99"/>
    <w:rsid w:val="00653641"/>
    <w:rPr>
      <w:rFonts w:ascii="Public Sans" w:eastAsiaTheme="minorEastAsia" w:hAnsi="Public Sans"/>
      <w:color w:val="22272B" w:themeColor="text1"/>
      <w:sz w:val="18"/>
      <w:szCs w:val="18"/>
    </w:rPr>
  </w:style>
  <w:style w:type="paragraph" w:styleId="BodyText">
    <w:name w:val="Body Text"/>
    <w:basedOn w:val="Normal"/>
    <w:link w:val="BodyTextChar"/>
    <w:autoRedefine/>
    <w:qFormat/>
    <w:rsid w:val="00214FBD"/>
    <w:pPr>
      <w:suppressAutoHyphens/>
      <w:autoSpaceDE w:val="0"/>
      <w:autoSpaceDN w:val="0"/>
      <w:adjustRightInd w:val="0"/>
      <w:spacing w:after="120" w:line="276" w:lineRule="auto"/>
      <w:ind w:right="113"/>
      <w:textAlignment w:val="center"/>
    </w:pPr>
    <w:rPr>
      <w:rFonts w:cs="Arial"/>
      <w:szCs w:val="20"/>
    </w:rPr>
  </w:style>
  <w:style w:type="character" w:customStyle="1" w:styleId="BodyTextChar">
    <w:name w:val="Body Text Char"/>
    <w:basedOn w:val="DefaultParagraphFont"/>
    <w:link w:val="BodyText"/>
    <w:rsid w:val="00214FBD"/>
    <w:rPr>
      <w:rFonts w:asciiTheme="minorHAnsi" w:eastAsiaTheme="minorEastAsia" w:hAnsiTheme="minorHAnsi" w:cs="Arial"/>
      <w:color w:val="22272B" w:themeColor="text1"/>
      <w:sz w:val="22"/>
      <w:szCs w:val="20"/>
    </w:rPr>
  </w:style>
  <w:style w:type="paragraph" w:customStyle="1" w:styleId="Bullet1">
    <w:name w:val="Bullet 1"/>
    <w:basedOn w:val="BodyText"/>
    <w:autoRedefine/>
    <w:qFormat/>
    <w:rsid w:val="00E16B00"/>
    <w:pPr>
      <w:numPr>
        <w:numId w:val="6"/>
      </w:numPr>
      <w:suppressAutoHyphens w:val="0"/>
      <w:autoSpaceDE/>
      <w:autoSpaceDN/>
      <w:adjustRightInd/>
      <w:textAlignment w:val="auto"/>
    </w:pPr>
  </w:style>
  <w:style w:type="paragraph" w:customStyle="1" w:styleId="Bullet2">
    <w:name w:val="Bullet 2"/>
    <w:basedOn w:val="Normal"/>
    <w:qFormat/>
    <w:rsid w:val="00087332"/>
    <w:pPr>
      <w:numPr>
        <w:numId w:val="8"/>
      </w:numPr>
      <w:spacing w:before="120" w:after="120"/>
    </w:pPr>
    <w:rPr>
      <w:rFonts w:cs="ArialMT"/>
      <w:color w:val="000000"/>
    </w:rPr>
  </w:style>
  <w:style w:type="character" w:customStyle="1" w:styleId="Heading3Char">
    <w:name w:val="Heading 3 Char"/>
    <w:basedOn w:val="DefaultParagraphFont"/>
    <w:link w:val="Heading3"/>
    <w:rsid w:val="00FD2FD9"/>
    <w:rPr>
      <w:rFonts w:ascii="Public Sans SemiBold" w:eastAsia="Times New Roman" w:hAnsi="Public Sans SemiBold"/>
      <w:b/>
      <w:bCs/>
      <w:color w:val="002664" w:themeColor="background2"/>
      <w:sz w:val="22"/>
      <w:lang w:val="en-GB"/>
    </w:rPr>
  </w:style>
  <w:style w:type="character" w:styleId="FollowedHyperlink">
    <w:name w:val="FollowedHyperlink"/>
    <w:basedOn w:val="DefaultParagraphFont"/>
    <w:semiHidden/>
    <w:unhideWhenUsed/>
    <w:rsid w:val="00865FB6"/>
    <w:rPr>
      <w:color w:val="22272B" w:themeColor="followedHyperlink"/>
      <w:u w:val="single"/>
    </w:rPr>
  </w:style>
  <w:style w:type="paragraph" w:customStyle="1" w:styleId="Bullet3">
    <w:name w:val="Bullet 3"/>
    <w:basedOn w:val="Normal"/>
    <w:autoRedefine/>
    <w:qFormat/>
    <w:rsid w:val="00E22BEB"/>
    <w:pPr>
      <w:numPr>
        <w:numId w:val="18"/>
      </w:numPr>
      <w:spacing w:before="120" w:after="120"/>
      <w:ind w:right="47"/>
    </w:pPr>
    <w:rPr>
      <w:rFonts w:cs="Arial"/>
      <w:szCs w:val="20"/>
    </w:rPr>
  </w:style>
  <w:style w:type="character" w:styleId="PlaceholderText">
    <w:name w:val="Placeholder Text"/>
    <w:basedOn w:val="DefaultParagraphFont"/>
    <w:uiPriority w:val="99"/>
    <w:semiHidden/>
    <w:rsid w:val="005C574F"/>
    <w:rPr>
      <w:color w:val="808080"/>
    </w:rPr>
  </w:style>
  <w:style w:type="paragraph" w:customStyle="1" w:styleId="Descriptor">
    <w:name w:val="Descriptor"/>
    <w:basedOn w:val="Normal"/>
    <w:autoRedefine/>
    <w:rsid w:val="000B0446"/>
    <w:pPr>
      <w:contextualSpacing/>
    </w:pPr>
    <w:rPr>
      <w:rFonts w:ascii="Public Sans SemiBold" w:eastAsiaTheme="majorEastAsia" w:hAnsi="Public Sans SemiBold" w:cstheme="majorBidi"/>
      <w:b/>
      <w:color w:val="002664" w:themeColor="accent1"/>
      <w:spacing w:val="-5"/>
      <w:kern w:val="28"/>
      <w:sz w:val="28"/>
      <w:szCs w:val="28"/>
    </w:rPr>
  </w:style>
  <w:style w:type="paragraph" w:styleId="List">
    <w:name w:val="List"/>
    <w:basedOn w:val="Normal"/>
    <w:unhideWhenUsed/>
    <w:rsid w:val="00A45656"/>
    <w:pPr>
      <w:numPr>
        <w:numId w:val="17"/>
      </w:numPr>
      <w:spacing w:before="120" w:after="120"/>
    </w:pPr>
  </w:style>
  <w:style w:type="paragraph" w:customStyle="1" w:styleId="Lista">
    <w:name w:val="List a."/>
    <w:basedOn w:val="List"/>
    <w:rsid w:val="00A45656"/>
    <w:pPr>
      <w:numPr>
        <w:ilvl w:val="1"/>
      </w:numPr>
    </w:pPr>
  </w:style>
  <w:style w:type="paragraph" w:customStyle="1" w:styleId="Listi">
    <w:name w:val="List i."/>
    <w:basedOn w:val="Lista"/>
    <w:rsid w:val="00A45656"/>
    <w:pPr>
      <w:numPr>
        <w:ilvl w:val="2"/>
      </w:numPr>
    </w:pPr>
  </w:style>
  <w:style w:type="paragraph" w:styleId="ListParagraph">
    <w:name w:val="List Paragraph"/>
    <w:aliases w:val="Recommendation,L,List Paragraph1,B1 paragraph,Dot points,standard lewis,F5 List Paragraph,Dot pt,No Spacing1,List Paragraph Char Char Char,Indicator Text,Numbered Para 1,Colorful List - Accent 11,Bullet Points,MAIN CONTENT"/>
    <w:basedOn w:val="Normal"/>
    <w:link w:val="ListParagraphChar"/>
    <w:uiPriority w:val="34"/>
    <w:unhideWhenUsed/>
    <w:qFormat/>
    <w:rsid w:val="00ED0A3B"/>
  </w:style>
  <w:style w:type="character" w:styleId="Hyperlink">
    <w:name w:val="Hyperlink"/>
    <w:basedOn w:val="DefaultParagraphFont"/>
    <w:uiPriority w:val="99"/>
    <w:unhideWhenUsed/>
    <w:rsid w:val="00ED0A3B"/>
    <w:rPr>
      <w:color w:val="22272B" w:themeColor="hyperlink"/>
      <w:u w:val="single"/>
    </w:rPr>
  </w:style>
  <w:style w:type="character" w:customStyle="1" w:styleId="Heading7Char">
    <w:name w:val="Heading 7 Char"/>
    <w:basedOn w:val="DefaultParagraphFont"/>
    <w:link w:val="Heading7"/>
    <w:uiPriority w:val="9"/>
    <w:rsid w:val="006314ED"/>
    <w:rPr>
      <w:rFonts w:asciiTheme="majorHAnsi" w:eastAsiaTheme="majorEastAsia" w:hAnsiTheme="majorHAnsi" w:cstheme="majorBidi"/>
      <w:i/>
      <w:iCs/>
      <w:color w:val="001231" w:themeColor="accent1" w:themeShade="7F"/>
      <w:sz w:val="22"/>
    </w:rPr>
  </w:style>
  <w:style w:type="character" w:customStyle="1" w:styleId="Heading4Char">
    <w:name w:val="Heading 4 Char"/>
    <w:basedOn w:val="DefaultParagraphFont"/>
    <w:link w:val="Heading4"/>
    <w:rsid w:val="002C03EB"/>
    <w:rPr>
      <w:rFonts w:ascii="Public Sans" w:eastAsiaTheme="minorEastAsia" w:hAnsi="Public Sans" w:cs="Arial"/>
      <w:noProof/>
      <w:color w:val="002664" w:themeColor="accent1"/>
      <w:sz w:val="28"/>
      <w:szCs w:val="28"/>
    </w:rPr>
  </w:style>
  <w:style w:type="character" w:styleId="Strong">
    <w:name w:val="Strong"/>
    <w:aliases w:val="Bold"/>
    <w:basedOn w:val="DefaultParagraphFont"/>
    <w:uiPriority w:val="22"/>
    <w:rsid w:val="00B94682"/>
    <w:rPr>
      <w:b/>
      <w:bCs/>
    </w:rPr>
  </w:style>
  <w:style w:type="paragraph" w:styleId="ListBullet">
    <w:name w:val="List Bullet"/>
    <w:uiPriority w:val="10"/>
    <w:qFormat/>
    <w:rsid w:val="00B94682"/>
    <w:pPr>
      <w:numPr>
        <w:numId w:val="32"/>
      </w:numPr>
      <w:suppressAutoHyphens/>
      <w:spacing w:before="120" w:after="120"/>
    </w:pPr>
    <w:rPr>
      <w:rFonts w:asciiTheme="minorHAnsi" w:hAnsiTheme="minorHAnsi" w:cs="Arial"/>
      <w:color w:val="22272B" w:themeColor="text1"/>
      <w:sz w:val="22"/>
      <w:szCs w:val="20"/>
    </w:rPr>
  </w:style>
  <w:style w:type="paragraph" w:customStyle="1" w:styleId="Style1">
    <w:name w:val="Style1"/>
    <w:next w:val="BodyText"/>
    <w:uiPriority w:val="2"/>
    <w:rsid w:val="003D6805"/>
    <w:rPr>
      <w:rFonts w:asciiTheme="minorHAnsi" w:eastAsiaTheme="minorEastAsia" w:hAnsiTheme="minorHAnsi"/>
      <w:color w:val="22272B" w:themeColor="text1"/>
      <w:sz w:val="44"/>
      <w:lang w:val="en-GB"/>
    </w:rPr>
  </w:style>
  <w:style w:type="character" w:styleId="PageNumber">
    <w:name w:val="page number"/>
    <w:basedOn w:val="DefaultParagraphFont"/>
    <w:semiHidden/>
    <w:unhideWhenUsed/>
    <w:rsid w:val="00E574BB"/>
  </w:style>
  <w:style w:type="paragraph" w:customStyle="1" w:styleId="Secondpagetitle">
    <w:name w:val="Second page title"/>
    <w:basedOn w:val="Heading2"/>
    <w:uiPriority w:val="2"/>
    <w:rsid w:val="00921EC3"/>
  </w:style>
  <w:style w:type="character" w:styleId="UnresolvedMention">
    <w:name w:val="Unresolved Mention"/>
    <w:basedOn w:val="DefaultParagraphFont"/>
    <w:uiPriority w:val="99"/>
    <w:semiHidden/>
    <w:unhideWhenUsed/>
    <w:rsid w:val="00D463C3"/>
    <w:rPr>
      <w:color w:val="605E5C"/>
      <w:shd w:val="clear" w:color="auto" w:fill="E1DFDD"/>
    </w:rPr>
  </w:style>
  <w:style w:type="paragraph" w:styleId="Revision">
    <w:name w:val="Revision"/>
    <w:hidden/>
    <w:semiHidden/>
    <w:rsid w:val="00A50A9B"/>
    <w:rPr>
      <w:rFonts w:asciiTheme="minorHAnsi" w:eastAsiaTheme="minorEastAsia" w:hAnsiTheme="minorHAnsi"/>
      <w:color w:val="22272B" w:themeColor="text1"/>
      <w:sz w:val="22"/>
    </w:rPr>
  </w:style>
  <w:style w:type="character" w:customStyle="1" w:styleId="ListParagraphChar">
    <w:name w:val="List Paragraph Char"/>
    <w:aliases w:val="Recommendation Char,L Char,List Paragraph1 Char,B1 paragraph Char,Dot points Char,standard lewis Char,F5 List Paragraph Char,Dot pt Char,No Spacing1 Char,List Paragraph Char Char Char Char,Indicator Text Char,Numbered Para 1 Char"/>
    <w:basedOn w:val="DefaultParagraphFont"/>
    <w:link w:val="ListParagraph"/>
    <w:uiPriority w:val="34"/>
    <w:locked/>
    <w:rsid w:val="008E6CAE"/>
    <w:rPr>
      <w:rFonts w:asciiTheme="minorHAnsi" w:eastAsiaTheme="minorEastAsia" w:hAnsiTheme="minorHAnsi"/>
      <w:color w:val="22272B" w:themeColor="text1"/>
      <w:sz w:val="22"/>
    </w:rPr>
  </w:style>
  <w:style w:type="character" w:customStyle="1" w:styleId="normaltextrun">
    <w:name w:val="normaltextrun"/>
    <w:basedOn w:val="DefaultParagraphFont"/>
    <w:rsid w:val="008E6CAE"/>
  </w:style>
  <w:style w:type="character" w:styleId="CommentReference">
    <w:name w:val="annotation reference"/>
    <w:basedOn w:val="DefaultParagraphFont"/>
    <w:semiHidden/>
    <w:unhideWhenUsed/>
    <w:rsid w:val="0013354D"/>
    <w:rPr>
      <w:sz w:val="16"/>
      <w:szCs w:val="16"/>
    </w:rPr>
  </w:style>
  <w:style w:type="paragraph" w:styleId="CommentText">
    <w:name w:val="annotation text"/>
    <w:basedOn w:val="Normal"/>
    <w:link w:val="CommentTextChar"/>
    <w:unhideWhenUsed/>
    <w:rsid w:val="0013354D"/>
    <w:rPr>
      <w:sz w:val="20"/>
      <w:szCs w:val="20"/>
    </w:rPr>
  </w:style>
  <w:style w:type="character" w:customStyle="1" w:styleId="CommentTextChar">
    <w:name w:val="Comment Text Char"/>
    <w:basedOn w:val="DefaultParagraphFont"/>
    <w:link w:val="CommentText"/>
    <w:rsid w:val="0013354D"/>
    <w:rPr>
      <w:rFonts w:asciiTheme="minorHAnsi" w:eastAsiaTheme="minorEastAsia" w:hAnsiTheme="minorHAnsi"/>
      <w:color w:val="22272B" w:themeColor="text1"/>
      <w:sz w:val="20"/>
      <w:szCs w:val="20"/>
    </w:rPr>
  </w:style>
  <w:style w:type="paragraph" w:styleId="CommentSubject">
    <w:name w:val="annotation subject"/>
    <w:basedOn w:val="CommentText"/>
    <w:next w:val="CommentText"/>
    <w:link w:val="CommentSubjectChar"/>
    <w:semiHidden/>
    <w:unhideWhenUsed/>
    <w:rsid w:val="0013354D"/>
    <w:rPr>
      <w:b/>
      <w:bCs/>
    </w:rPr>
  </w:style>
  <w:style w:type="character" w:customStyle="1" w:styleId="CommentSubjectChar">
    <w:name w:val="Comment Subject Char"/>
    <w:basedOn w:val="CommentTextChar"/>
    <w:link w:val="CommentSubject"/>
    <w:semiHidden/>
    <w:rsid w:val="0013354D"/>
    <w:rPr>
      <w:rFonts w:asciiTheme="minorHAnsi" w:eastAsiaTheme="minorEastAsia" w:hAnsiTheme="minorHAnsi"/>
      <w:b/>
      <w:bCs/>
      <w:color w:val="22272B" w:themeColor="text1"/>
      <w:sz w:val="20"/>
      <w:szCs w:val="20"/>
    </w:rPr>
  </w:style>
  <w:style w:type="paragraph" w:styleId="ListBullet3">
    <w:name w:val="List Bullet 3"/>
    <w:basedOn w:val="Normal"/>
    <w:uiPriority w:val="10"/>
    <w:unhideWhenUsed/>
    <w:qFormat/>
    <w:rsid w:val="004B3BBE"/>
    <w:pPr>
      <w:numPr>
        <w:numId w:val="35"/>
      </w:numPr>
      <w:contextualSpacing/>
    </w:pPr>
  </w:style>
  <w:style w:type="paragraph" w:customStyle="1" w:styleId="pf0">
    <w:name w:val="pf0"/>
    <w:basedOn w:val="Normal"/>
    <w:rsid w:val="00232472"/>
    <w:pPr>
      <w:spacing w:before="100" w:beforeAutospacing="1" w:after="100" w:afterAutospacing="1"/>
    </w:pPr>
    <w:rPr>
      <w:rFonts w:ascii="Times New Roman" w:eastAsia="Times New Roman" w:hAnsi="Times New Roman"/>
      <w:color w:val="auto"/>
      <w:sz w:val="24"/>
      <w:lang w:eastAsia="en-AU"/>
    </w:rPr>
  </w:style>
  <w:style w:type="character" w:customStyle="1" w:styleId="cf01">
    <w:name w:val="cf01"/>
    <w:basedOn w:val="DefaultParagraphFont"/>
    <w:rsid w:val="00232472"/>
    <w:rPr>
      <w:rFonts w:ascii="Segoe UI" w:hAnsi="Segoe UI" w:cs="Segoe UI" w:hint="default"/>
      <w:color w:val="002664"/>
      <w:sz w:val="18"/>
      <w:szCs w:val="18"/>
    </w:rPr>
  </w:style>
  <w:style w:type="paragraph" w:styleId="NormalWeb">
    <w:name w:val="Normal (Web)"/>
    <w:basedOn w:val="Normal"/>
    <w:uiPriority w:val="99"/>
    <w:semiHidden/>
    <w:unhideWhenUsed/>
    <w:rsid w:val="00D319A3"/>
    <w:pPr>
      <w:spacing w:before="100" w:beforeAutospacing="1" w:after="100" w:afterAutospacing="1"/>
    </w:pPr>
    <w:rPr>
      <w:rFonts w:ascii="Times New Roman" w:eastAsia="Times New Roman" w:hAnsi="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043">
      <w:bodyDiv w:val="1"/>
      <w:marLeft w:val="0"/>
      <w:marRight w:val="0"/>
      <w:marTop w:val="0"/>
      <w:marBottom w:val="0"/>
      <w:divBdr>
        <w:top w:val="none" w:sz="0" w:space="0" w:color="auto"/>
        <w:left w:val="none" w:sz="0" w:space="0" w:color="auto"/>
        <w:bottom w:val="none" w:sz="0" w:space="0" w:color="auto"/>
        <w:right w:val="none" w:sz="0" w:space="0" w:color="auto"/>
      </w:divBdr>
    </w:div>
    <w:div w:id="543638952">
      <w:bodyDiv w:val="1"/>
      <w:marLeft w:val="0"/>
      <w:marRight w:val="0"/>
      <w:marTop w:val="0"/>
      <w:marBottom w:val="0"/>
      <w:divBdr>
        <w:top w:val="none" w:sz="0" w:space="0" w:color="auto"/>
        <w:left w:val="none" w:sz="0" w:space="0" w:color="auto"/>
        <w:bottom w:val="none" w:sz="0" w:space="0" w:color="auto"/>
        <w:right w:val="none" w:sz="0" w:space="0" w:color="auto"/>
      </w:divBdr>
    </w:div>
    <w:div w:id="1006903054">
      <w:bodyDiv w:val="1"/>
      <w:marLeft w:val="0"/>
      <w:marRight w:val="0"/>
      <w:marTop w:val="0"/>
      <w:marBottom w:val="0"/>
      <w:divBdr>
        <w:top w:val="none" w:sz="0" w:space="0" w:color="auto"/>
        <w:left w:val="none" w:sz="0" w:space="0" w:color="auto"/>
        <w:bottom w:val="none" w:sz="0" w:space="0" w:color="auto"/>
        <w:right w:val="none" w:sz="0" w:space="0" w:color="auto"/>
      </w:divBdr>
    </w:div>
    <w:div w:id="1268198462">
      <w:bodyDiv w:val="1"/>
      <w:marLeft w:val="0"/>
      <w:marRight w:val="0"/>
      <w:marTop w:val="0"/>
      <w:marBottom w:val="0"/>
      <w:divBdr>
        <w:top w:val="none" w:sz="0" w:space="0" w:color="auto"/>
        <w:left w:val="none" w:sz="0" w:space="0" w:color="auto"/>
        <w:bottom w:val="none" w:sz="0" w:space="0" w:color="auto"/>
        <w:right w:val="none" w:sz="0" w:space="0" w:color="auto"/>
      </w:divBdr>
      <w:divsChild>
        <w:div w:id="1094739290">
          <w:marLeft w:val="0"/>
          <w:marRight w:val="0"/>
          <w:marTop w:val="0"/>
          <w:marBottom w:val="0"/>
          <w:divBdr>
            <w:top w:val="none" w:sz="0" w:space="0" w:color="auto"/>
            <w:left w:val="none" w:sz="0" w:space="0" w:color="auto"/>
            <w:bottom w:val="none" w:sz="0" w:space="0" w:color="auto"/>
            <w:right w:val="none" w:sz="0" w:space="0" w:color="auto"/>
          </w:divBdr>
        </w:div>
      </w:divsChild>
    </w:div>
    <w:div w:id="1342511127">
      <w:bodyDiv w:val="1"/>
      <w:marLeft w:val="0"/>
      <w:marRight w:val="0"/>
      <w:marTop w:val="0"/>
      <w:marBottom w:val="0"/>
      <w:divBdr>
        <w:top w:val="none" w:sz="0" w:space="0" w:color="auto"/>
        <w:left w:val="none" w:sz="0" w:space="0" w:color="auto"/>
        <w:bottom w:val="none" w:sz="0" w:space="0" w:color="auto"/>
        <w:right w:val="none" w:sz="0" w:space="0" w:color="auto"/>
      </w:divBdr>
    </w:div>
    <w:div w:id="1547838932">
      <w:bodyDiv w:val="1"/>
      <w:marLeft w:val="0"/>
      <w:marRight w:val="0"/>
      <w:marTop w:val="0"/>
      <w:marBottom w:val="0"/>
      <w:divBdr>
        <w:top w:val="none" w:sz="0" w:space="0" w:color="auto"/>
        <w:left w:val="none" w:sz="0" w:space="0" w:color="auto"/>
        <w:bottom w:val="none" w:sz="0" w:space="0" w:color="auto"/>
        <w:right w:val="none" w:sz="0" w:space="0" w:color="auto"/>
      </w:divBdr>
    </w:div>
    <w:div w:id="1605964200">
      <w:bodyDiv w:val="1"/>
      <w:marLeft w:val="0"/>
      <w:marRight w:val="0"/>
      <w:marTop w:val="0"/>
      <w:marBottom w:val="0"/>
      <w:divBdr>
        <w:top w:val="none" w:sz="0" w:space="0" w:color="auto"/>
        <w:left w:val="none" w:sz="0" w:space="0" w:color="auto"/>
        <w:bottom w:val="none" w:sz="0" w:space="0" w:color="auto"/>
        <w:right w:val="none" w:sz="0" w:space="0" w:color="auto"/>
      </w:divBdr>
    </w:div>
    <w:div w:id="1643149517">
      <w:bodyDiv w:val="1"/>
      <w:marLeft w:val="0"/>
      <w:marRight w:val="0"/>
      <w:marTop w:val="0"/>
      <w:marBottom w:val="0"/>
      <w:divBdr>
        <w:top w:val="none" w:sz="0" w:space="0" w:color="auto"/>
        <w:left w:val="none" w:sz="0" w:space="0" w:color="auto"/>
        <w:bottom w:val="none" w:sz="0" w:space="0" w:color="auto"/>
        <w:right w:val="none" w:sz="0" w:space="0" w:color="auto"/>
      </w:divBdr>
    </w:div>
    <w:div w:id="1670518410">
      <w:bodyDiv w:val="1"/>
      <w:marLeft w:val="0"/>
      <w:marRight w:val="0"/>
      <w:marTop w:val="0"/>
      <w:marBottom w:val="0"/>
      <w:divBdr>
        <w:top w:val="none" w:sz="0" w:space="0" w:color="auto"/>
        <w:left w:val="none" w:sz="0" w:space="0" w:color="auto"/>
        <w:bottom w:val="none" w:sz="0" w:space="0" w:color="auto"/>
        <w:right w:val="none" w:sz="0" w:space="0" w:color="auto"/>
      </w:divBdr>
    </w:div>
    <w:div w:id="2076007523">
      <w:bodyDiv w:val="1"/>
      <w:marLeft w:val="0"/>
      <w:marRight w:val="0"/>
      <w:marTop w:val="0"/>
      <w:marBottom w:val="0"/>
      <w:divBdr>
        <w:top w:val="none" w:sz="0" w:space="0" w:color="auto"/>
        <w:left w:val="none" w:sz="0" w:space="0" w:color="auto"/>
        <w:bottom w:val="none" w:sz="0" w:space="0" w:color="auto"/>
        <w:right w:val="none" w:sz="0" w:space="0" w:color="auto"/>
      </w:divBdr>
    </w:div>
    <w:div w:id="2139374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cj.nsw.gov.au/children-and-families/family-is-culture/nsw-government-response/our-progres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Name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6DF709BCB69E4EBB7FF940B9DF8628" ma:contentTypeVersion="12" ma:contentTypeDescription="Create a new document." ma:contentTypeScope="" ma:versionID="a5505b6d4e40e28fc608a69827c79d1b">
  <xsd:schema xmlns:xsd="http://www.w3.org/2001/XMLSchema" xmlns:xs="http://www.w3.org/2001/XMLSchema" xmlns:p="http://schemas.microsoft.com/office/2006/metadata/properties" xmlns:ns2="1e132545-03ed-4c80-9a7f-8380744cc84e" xmlns:ns3="53ecf924-d0ea-4370-a3e5-794a06062bd9" targetNamespace="http://schemas.microsoft.com/office/2006/metadata/properties" ma:root="true" ma:fieldsID="56a0a34cd45d03e131d89cc73d3cff7c" ns2:_="" ns3:_="">
    <xsd:import namespace="1e132545-03ed-4c80-9a7f-8380744cc84e"/>
    <xsd:import namespace="53ecf924-d0ea-4370-a3e5-794a06062b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32545-03ed-4c80-9a7f-8380744cc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a9b5ed-3dec-4005-b770-d275ff43f16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ecf924-d0ea-4370-a3e5-794a06062b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eac294e-e5b5-4615-b746-22d33e28ed03}" ma:internalName="TaxCatchAll" ma:showField="CatchAllData" ma:web="53ecf924-d0ea-4370-a3e5-794a06062b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e132545-03ed-4c80-9a7f-8380744cc84e">
      <Terms xmlns="http://schemas.microsoft.com/office/infopath/2007/PartnerControls"/>
    </lcf76f155ced4ddcb4097134ff3c332f>
    <TaxCatchAll xmlns="53ecf924-d0ea-4370-a3e5-794a06062bd9"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003153-0C83-4B45-8EF7-08D583FE5C27}">
  <ds:schemaRefs>
    <ds:schemaRef ds:uri="http://schemas.microsoft.com/sharepoint/v3/contenttype/forms"/>
  </ds:schemaRefs>
</ds:datastoreItem>
</file>

<file path=customXml/itemProps3.xml><?xml version="1.0" encoding="utf-8"?>
<ds:datastoreItem xmlns:ds="http://schemas.openxmlformats.org/officeDocument/2006/customXml" ds:itemID="{0195E851-48E2-4916-BE99-7F8E82240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32545-03ed-4c80-9a7f-8380744cc84e"/>
    <ds:schemaRef ds:uri="53ecf924-d0ea-4370-a3e5-794a06062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B9B727-DE65-AE4E-B5E6-07164BD74F00}">
  <ds:schemaRefs>
    <ds:schemaRef ds:uri="http://schemas.openxmlformats.org/officeDocument/2006/bibliography"/>
  </ds:schemaRefs>
</ds:datastoreItem>
</file>

<file path=customXml/itemProps5.xml><?xml version="1.0" encoding="utf-8"?>
<ds:datastoreItem xmlns:ds="http://schemas.openxmlformats.org/officeDocument/2006/customXml" ds:itemID="{65BE4D72-CCE9-443B-87DD-BB7F6972D949}">
  <ds:schemaRefs>
    <ds:schemaRef ds:uri="http://schemas.microsoft.com/office/2006/metadata/properties"/>
    <ds:schemaRef ds:uri="1e132545-03ed-4c80-9a7f-8380744cc84e"/>
    <ds:schemaRef ds:uri="http://www.w3.org/XML/1998/namespace"/>
    <ds:schemaRef ds:uri="http://schemas.openxmlformats.org/package/2006/metadata/core-properties"/>
    <ds:schemaRef ds:uri="53ecf924-d0ea-4370-a3e5-794a06062bd9"/>
    <ds:schemaRef ds:uri="http://purl.org/dc/dcmitype/"/>
    <ds:schemaRef ds:uri="http://purl.org/dc/elements/1.1/"/>
    <ds:schemaRef ds:uri="http://purl.org/dc/terms/"/>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10</Pages>
  <Words>3232</Words>
  <Characters>18425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Factsheet</vt:lpstr>
    </vt:vector>
  </TitlesOfParts>
  <Manager/>
  <Company>DCJ</Company>
  <LinksUpToDate>false</LinksUpToDate>
  <CharactersWithSpaces>21614</CharactersWithSpaces>
  <SharedDoc>false</SharedDoc>
  <HyperlinkBase/>
  <HLinks>
    <vt:vector size="6" baseType="variant">
      <vt:variant>
        <vt:i4>1769494</vt:i4>
      </vt:variant>
      <vt:variant>
        <vt:i4>0</vt:i4>
      </vt:variant>
      <vt:variant>
        <vt:i4>0</vt:i4>
      </vt:variant>
      <vt:variant>
        <vt:i4>5</vt:i4>
      </vt:variant>
      <vt:variant>
        <vt:lpwstr>https://dcj.nsw.gov.au/children-and-families/family-is-culture/nsw-government-response/our-progress.html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Government 2024 25 Implementation Plan (Appendix B)</dc:title>
  <dc:subject/>
  <dc:creator>Matthew Barden</dc:creator>
  <cp:keywords/>
  <dc:description/>
  <cp:lastModifiedBy>Joshua Youkhana</cp:lastModifiedBy>
  <cp:revision>69</cp:revision>
  <cp:lastPrinted>2022-04-12T18:35:00Z</cp:lastPrinted>
  <dcterms:created xsi:type="dcterms:W3CDTF">2024-06-12T06:35:00Z</dcterms:created>
  <dcterms:modified xsi:type="dcterms:W3CDTF">2024-07-30T05:53:00Z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0x0101006A6DF709BCB69E4EBB7FF940B9DF8628</vt:lpwstr>
  </property>
  <property fmtid="{D5CDD505-2E9C-101B-9397-08002B2CF9AE}" pid="3" name="MediaServiceImageTags">
    <vt:lpwstr/>
  </property>
</Properties>
</file>