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C0310" w14:textId="77777777" w:rsidR="00646C9D" w:rsidRDefault="00EB33CB" w:rsidP="00943BAF">
      <w:pPr>
        <w:pStyle w:val="Title"/>
        <w:jc w:val="center"/>
        <w:rPr>
          <w:b/>
          <w:sz w:val="32"/>
          <w:szCs w:val="32"/>
        </w:rPr>
      </w:pPr>
      <w:r>
        <w:rPr>
          <w:b/>
          <w:sz w:val="32"/>
          <w:szCs w:val="32"/>
        </w:rPr>
        <w:t>Using the Data Exchange: Consent and Privacy</w:t>
      </w:r>
    </w:p>
    <w:p w14:paraId="10DE4E7D" w14:textId="77777777" w:rsidR="00016359" w:rsidRDefault="00747E3E" w:rsidP="00AE47E7">
      <w:pPr>
        <w:rPr>
          <w:lang w:val="en-AU"/>
        </w:rPr>
      </w:pPr>
      <w:r>
        <w:rPr>
          <w:lang w:val="en-AU"/>
        </w:rPr>
        <w:t>This document out</w:t>
      </w:r>
      <w:r w:rsidR="005045F4">
        <w:rPr>
          <w:lang w:val="en-AU"/>
        </w:rPr>
        <w:t>lines</w:t>
      </w:r>
      <w:r w:rsidR="00016359">
        <w:rPr>
          <w:lang w:val="en-AU"/>
        </w:rPr>
        <w:t xml:space="preserve"> the</w:t>
      </w:r>
      <w:r w:rsidR="005045F4">
        <w:rPr>
          <w:lang w:val="en-AU"/>
        </w:rPr>
        <w:t xml:space="preserve"> consent and data privacy principles </w:t>
      </w:r>
      <w:r w:rsidR="00A65837">
        <w:rPr>
          <w:lang w:val="en-AU"/>
        </w:rPr>
        <w:t xml:space="preserve">you must follow to use </w:t>
      </w:r>
      <w:r w:rsidR="005045F4">
        <w:rPr>
          <w:lang w:val="en-AU"/>
        </w:rPr>
        <w:t xml:space="preserve">the Data Exchange. These principles apply to </w:t>
      </w:r>
      <w:r w:rsidR="00A65837">
        <w:rPr>
          <w:lang w:val="en-AU"/>
        </w:rPr>
        <w:t xml:space="preserve">all </w:t>
      </w:r>
      <w:r w:rsidR="005045F4">
        <w:rPr>
          <w:lang w:val="en-AU"/>
        </w:rPr>
        <w:t>services</w:t>
      </w:r>
      <w:r w:rsidR="006B5198">
        <w:rPr>
          <w:lang w:val="en-AU"/>
        </w:rPr>
        <w:t xml:space="preserve"> who intend </w:t>
      </w:r>
      <w:r w:rsidR="006B5198" w:rsidRPr="00A65837">
        <w:rPr>
          <w:lang w:val="en-AU"/>
        </w:rPr>
        <w:t xml:space="preserve">to store client’s </w:t>
      </w:r>
      <w:r w:rsidR="006B5198" w:rsidRPr="00A65837">
        <w:rPr>
          <w:b/>
          <w:lang w:val="en-AU"/>
        </w:rPr>
        <w:t>personal</w:t>
      </w:r>
      <w:r w:rsidR="006B5198" w:rsidRPr="00A65837">
        <w:rPr>
          <w:lang w:val="en-AU"/>
        </w:rPr>
        <w:t xml:space="preserve"> information </w:t>
      </w:r>
      <w:r w:rsidR="006B5198">
        <w:rPr>
          <w:lang w:val="en-AU"/>
        </w:rPr>
        <w:t>in the Data Exchange, regardless of upload method (</w:t>
      </w:r>
      <w:r w:rsidR="005045F4">
        <w:rPr>
          <w:lang w:val="en-AU"/>
        </w:rPr>
        <w:t>using</w:t>
      </w:r>
      <w:r w:rsidR="00016359">
        <w:rPr>
          <w:lang w:val="en-AU"/>
        </w:rPr>
        <w:t xml:space="preserve"> the web-based portal, bulk uploads</w:t>
      </w:r>
      <w:r w:rsidR="006B5198">
        <w:rPr>
          <w:lang w:val="en-AU"/>
        </w:rPr>
        <w:t xml:space="preserve"> or system-to-system transfers). </w:t>
      </w:r>
    </w:p>
    <w:p w14:paraId="3B75C470" w14:textId="77777777" w:rsidR="005045F4" w:rsidRDefault="00A65837" w:rsidP="00AE47E7">
      <w:pPr>
        <w:rPr>
          <w:lang w:val="en-AU"/>
        </w:rPr>
      </w:pPr>
      <w:r>
        <w:rPr>
          <w:lang w:val="en-AU"/>
        </w:rPr>
        <w:t>You</w:t>
      </w:r>
      <w:r w:rsidR="005045F4">
        <w:rPr>
          <w:lang w:val="en-AU"/>
        </w:rPr>
        <w:t xml:space="preserve"> s</w:t>
      </w:r>
      <w:r>
        <w:rPr>
          <w:lang w:val="en-AU"/>
        </w:rPr>
        <w:t xml:space="preserve">hould </w:t>
      </w:r>
      <w:r w:rsidR="005045F4">
        <w:rPr>
          <w:lang w:val="en-AU"/>
        </w:rPr>
        <w:t xml:space="preserve">read </w:t>
      </w:r>
      <w:r>
        <w:rPr>
          <w:lang w:val="en-AU"/>
        </w:rPr>
        <w:t xml:space="preserve">this document </w:t>
      </w:r>
      <w:r w:rsidR="005045F4">
        <w:rPr>
          <w:lang w:val="en-AU"/>
        </w:rPr>
        <w:t>in conjunction with:</w:t>
      </w:r>
    </w:p>
    <w:p w14:paraId="2FFDCAEA" w14:textId="77777777" w:rsidR="005045F4" w:rsidRPr="00A65837" w:rsidRDefault="00612A59" w:rsidP="00A65837">
      <w:pPr>
        <w:pStyle w:val="ListParagraph"/>
        <w:numPr>
          <w:ilvl w:val="0"/>
          <w:numId w:val="32"/>
        </w:numPr>
        <w:rPr>
          <w:lang w:val="en-AU"/>
        </w:rPr>
      </w:pPr>
      <w:hyperlink r:id="rId8" w:history="1">
        <w:r w:rsidR="005045F4" w:rsidRPr="00A65837">
          <w:rPr>
            <w:rStyle w:val="Hyperlink"/>
            <w:lang w:val="en-AU"/>
          </w:rPr>
          <w:t>The Data Exchange Protocols</w:t>
        </w:r>
      </w:hyperlink>
      <w:r w:rsidR="005045F4" w:rsidRPr="00A65837">
        <w:rPr>
          <w:lang w:val="en-AU"/>
        </w:rPr>
        <w:t>, Section 4</w:t>
      </w:r>
    </w:p>
    <w:p w14:paraId="365E3EC3" w14:textId="77777777" w:rsidR="005045F4" w:rsidRPr="00A65837" w:rsidRDefault="00612A59" w:rsidP="00A65837">
      <w:pPr>
        <w:pStyle w:val="ListParagraph"/>
        <w:numPr>
          <w:ilvl w:val="0"/>
          <w:numId w:val="32"/>
        </w:numPr>
        <w:rPr>
          <w:lang w:val="en-AU"/>
        </w:rPr>
      </w:pPr>
      <w:hyperlink r:id="rId9" w:history="1">
        <w:r w:rsidR="005045F4" w:rsidRPr="00A65837">
          <w:rPr>
            <w:rStyle w:val="Hyperlink"/>
            <w:lang w:val="en-AU"/>
          </w:rPr>
          <w:t>Information for clients about privacy</w:t>
        </w:r>
      </w:hyperlink>
    </w:p>
    <w:p w14:paraId="589A8AD1" w14:textId="77777777" w:rsidR="005045F4" w:rsidRPr="00A65837" w:rsidRDefault="00612A59" w:rsidP="00A65837">
      <w:pPr>
        <w:pStyle w:val="ListParagraph"/>
        <w:numPr>
          <w:ilvl w:val="0"/>
          <w:numId w:val="32"/>
        </w:numPr>
        <w:rPr>
          <w:rStyle w:val="Hyperlink"/>
          <w:lang w:val="en-AU"/>
        </w:rPr>
      </w:pPr>
      <w:hyperlink r:id="rId10" w:history="1">
        <w:r w:rsidR="005045F4" w:rsidRPr="00A65837">
          <w:rPr>
            <w:rStyle w:val="Hyperlink"/>
            <w:lang w:val="en-AU"/>
          </w:rPr>
          <w:t>Information for organisations about consent</w:t>
        </w:r>
      </w:hyperlink>
    </w:p>
    <w:p w14:paraId="3BCC54CF" w14:textId="77777777" w:rsidR="001C3AB6" w:rsidRPr="00AB2BBC" w:rsidRDefault="001C3AB6" w:rsidP="00AB2BBC">
      <w:pPr>
        <w:pStyle w:val="Title"/>
        <w:spacing w:before="240" w:after="120"/>
        <w:jc w:val="center"/>
        <w:rPr>
          <w:b/>
        </w:rPr>
      </w:pPr>
      <w:r w:rsidRPr="00AB2BBC">
        <w:rPr>
          <w:b/>
        </w:rPr>
        <w:t>Frequently Asked Questions</w:t>
      </w:r>
    </w:p>
    <w:p w14:paraId="28DE5DB8" w14:textId="4A47FF8E" w:rsidR="001C3AB6" w:rsidRPr="006B5198" w:rsidRDefault="00612A59" w:rsidP="00601A49">
      <w:pPr>
        <w:pStyle w:val="ListParagraph"/>
        <w:numPr>
          <w:ilvl w:val="0"/>
          <w:numId w:val="27"/>
        </w:numPr>
        <w:spacing w:before="120" w:after="120"/>
        <w:ind w:left="357" w:hanging="357"/>
        <w:contextualSpacing w:val="0"/>
        <w:rPr>
          <w:color w:val="002060"/>
          <w:lang w:val="en-AU"/>
        </w:rPr>
      </w:pPr>
      <w:hyperlink w:anchor="Question1" w:history="1">
        <w:r w:rsidR="001C3AB6" w:rsidRPr="006B5198">
          <w:rPr>
            <w:rStyle w:val="Hyperlink"/>
            <w:color w:val="002060"/>
            <w:lang w:val="en-AU"/>
          </w:rPr>
          <w:t>What consent do I need to collect when using the Data Exchange?</w:t>
        </w:r>
      </w:hyperlink>
      <w:r w:rsidR="008E147C" w:rsidRPr="006B5198">
        <w:rPr>
          <w:color w:val="002060"/>
          <w:lang w:val="en-AU"/>
        </w:rPr>
        <w:t>.</w:t>
      </w:r>
      <w:r>
        <w:rPr>
          <w:color w:val="002060"/>
          <w:lang w:val="en-AU"/>
        </w:rPr>
        <w:t xml:space="preserve">.......... </w:t>
      </w:r>
      <w:r w:rsidR="007F7F1C" w:rsidRPr="006B5198">
        <w:rPr>
          <w:color w:val="002060"/>
          <w:lang w:val="en-AU"/>
        </w:rPr>
        <w:t>pg. 2</w:t>
      </w:r>
    </w:p>
    <w:p w14:paraId="75BE317C" w14:textId="239F2BE0" w:rsidR="001C3AB6" w:rsidRPr="006B5198" w:rsidRDefault="00612A59" w:rsidP="00601A49">
      <w:pPr>
        <w:pStyle w:val="ListParagraph"/>
        <w:numPr>
          <w:ilvl w:val="0"/>
          <w:numId w:val="27"/>
        </w:numPr>
        <w:spacing w:before="120" w:after="120"/>
        <w:ind w:left="357" w:hanging="357"/>
        <w:contextualSpacing w:val="0"/>
        <w:rPr>
          <w:color w:val="002060"/>
          <w:lang w:val="en-AU"/>
        </w:rPr>
      </w:pPr>
      <w:hyperlink w:anchor="Question2" w:history="1">
        <w:r w:rsidR="001C3AB6" w:rsidRPr="006B5198">
          <w:rPr>
            <w:rStyle w:val="Hyperlink"/>
            <w:color w:val="002060"/>
            <w:lang w:val="en-AU"/>
          </w:rPr>
          <w:t>What happens if a client does not give consent?</w:t>
        </w:r>
      </w:hyperlink>
      <w:r w:rsidR="008E147C" w:rsidRPr="006B5198">
        <w:rPr>
          <w:color w:val="002060"/>
          <w:lang w:val="en-AU"/>
        </w:rPr>
        <w:t xml:space="preserve"> </w:t>
      </w:r>
      <w:r w:rsidR="007F7F1C" w:rsidRPr="006B5198">
        <w:rPr>
          <w:color w:val="002060"/>
          <w:lang w:val="en-AU"/>
        </w:rPr>
        <w:t>................................</w:t>
      </w:r>
      <w:r w:rsidR="00601A49">
        <w:rPr>
          <w:color w:val="002060"/>
          <w:lang w:val="en-AU"/>
        </w:rPr>
        <w:t>.....</w:t>
      </w:r>
      <w:r>
        <w:rPr>
          <w:color w:val="002060"/>
          <w:lang w:val="en-AU"/>
        </w:rPr>
        <w:t>..........</w:t>
      </w:r>
      <w:r w:rsidR="007F7F1C" w:rsidRPr="006B5198">
        <w:rPr>
          <w:color w:val="002060"/>
          <w:lang w:val="en-AU"/>
        </w:rPr>
        <w:t xml:space="preserve"> pg. 3</w:t>
      </w:r>
    </w:p>
    <w:p w14:paraId="1C7D537E" w14:textId="72509720" w:rsidR="001C3AB6" w:rsidRDefault="00612A59" w:rsidP="00601A49">
      <w:pPr>
        <w:pStyle w:val="ListParagraph"/>
        <w:numPr>
          <w:ilvl w:val="0"/>
          <w:numId w:val="27"/>
        </w:numPr>
        <w:spacing w:before="120" w:after="120"/>
        <w:ind w:left="357" w:hanging="357"/>
        <w:contextualSpacing w:val="0"/>
        <w:rPr>
          <w:color w:val="002060"/>
          <w:lang w:val="en-AU"/>
        </w:rPr>
      </w:pPr>
      <w:hyperlink w:anchor="Question3" w:history="1">
        <w:r w:rsidR="001C3AB6" w:rsidRPr="006B5198">
          <w:rPr>
            <w:rStyle w:val="Hyperlink"/>
            <w:color w:val="002060"/>
            <w:lang w:val="en-AU"/>
          </w:rPr>
          <w:t>What happens if a client will not give their details?</w:t>
        </w:r>
      </w:hyperlink>
      <w:r w:rsidR="008E147C" w:rsidRPr="006B5198">
        <w:rPr>
          <w:color w:val="002060"/>
          <w:lang w:val="en-AU"/>
        </w:rPr>
        <w:t xml:space="preserve"> </w:t>
      </w:r>
      <w:r w:rsidR="007F7F1C" w:rsidRPr="006B5198">
        <w:rPr>
          <w:color w:val="002060"/>
          <w:lang w:val="en-AU"/>
        </w:rPr>
        <w:t>........</w:t>
      </w:r>
      <w:r w:rsidR="008E147C" w:rsidRPr="006B5198">
        <w:rPr>
          <w:color w:val="002060"/>
          <w:lang w:val="en-AU"/>
        </w:rPr>
        <w:t>......</w:t>
      </w:r>
      <w:r w:rsidR="007F7F1C" w:rsidRPr="006B5198">
        <w:rPr>
          <w:color w:val="002060"/>
          <w:lang w:val="en-AU"/>
        </w:rPr>
        <w:t>............</w:t>
      </w:r>
      <w:r w:rsidR="00601A49">
        <w:rPr>
          <w:color w:val="002060"/>
          <w:lang w:val="en-AU"/>
        </w:rPr>
        <w:t>....</w:t>
      </w:r>
      <w:r w:rsidR="008E147C" w:rsidRPr="006B5198">
        <w:rPr>
          <w:color w:val="002060"/>
          <w:lang w:val="en-AU"/>
        </w:rPr>
        <w:t>..</w:t>
      </w:r>
      <w:r>
        <w:rPr>
          <w:color w:val="002060"/>
          <w:lang w:val="en-AU"/>
        </w:rPr>
        <w:t>..........</w:t>
      </w:r>
      <w:r w:rsidR="007F7F1C" w:rsidRPr="006B5198">
        <w:rPr>
          <w:color w:val="002060"/>
          <w:lang w:val="en-AU"/>
        </w:rPr>
        <w:t xml:space="preserve"> pg. 4</w:t>
      </w:r>
    </w:p>
    <w:p w14:paraId="0EF8BC8D" w14:textId="5CB97AEA" w:rsidR="00D75489" w:rsidRPr="00D75489" w:rsidRDefault="00D75489" w:rsidP="00D75489">
      <w:pPr>
        <w:pStyle w:val="ListParagraph"/>
        <w:numPr>
          <w:ilvl w:val="0"/>
          <w:numId w:val="27"/>
        </w:numPr>
        <w:spacing w:before="120" w:after="120"/>
        <w:ind w:left="357" w:hanging="357"/>
        <w:contextualSpacing w:val="0"/>
        <w:rPr>
          <w:rStyle w:val="Hyperlink"/>
          <w:color w:val="002060"/>
          <w:lang w:val="en-AU"/>
        </w:rPr>
      </w:pPr>
      <w:r w:rsidRPr="00D75489">
        <w:rPr>
          <w:rStyle w:val="Hyperlink"/>
          <w:color w:val="002060"/>
          <w:lang w:val="en-AU"/>
        </w:rPr>
        <w:t>Can children or someone with compromised capacity give consent</w:t>
      </w:r>
      <w:r>
        <w:rPr>
          <w:rStyle w:val="Hyperlink"/>
          <w:color w:val="002060"/>
          <w:lang w:val="en-AU"/>
        </w:rPr>
        <w:t>?</w:t>
      </w:r>
      <w:r w:rsidR="00AB2BBC">
        <w:rPr>
          <w:rStyle w:val="Hyperlink"/>
          <w:color w:val="002060"/>
          <w:lang w:val="en-AU"/>
        </w:rPr>
        <w:t xml:space="preserve"> </w:t>
      </w:r>
      <w:r w:rsidR="00AB2BBC" w:rsidRPr="00AB2BBC">
        <w:rPr>
          <w:rStyle w:val="Hyperlink"/>
          <w:color w:val="002060"/>
          <w:u w:val="none"/>
          <w:lang w:val="en-AU"/>
        </w:rPr>
        <w:t>....................................................................................</w:t>
      </w:r>
      <w:r w:rsidR="00AB2BBC">
        <w:rPr>
          <w:rStyle w:val="Hyperlink"/>
          <w:color w:val="002060"/>
          <w:u w:val="none"/>
          <w:lang w:val="en-AU"/>
        </w:rPr>
        <w:t>...................................................</w:t>
      </w:r>
      <w:r w:rsidR="00612A59">
        <w:rPr>
          <w:rStyle w:val="Hyperlink"/>
          <w:color w:val="002060"/>
          <w:u w:val="none"/>
          <w:lang w:val="en-AU"/>
        </w:rPr>
        <w:t>...........</w:t>
      </w:r>
      <w:r w:rsidR="00AB2BBC" w:rsidRPr="00AB2BBC">
        <w:rPr>
          <w:color w:val="002060"/>
          <w:lang w:val="en-AU"/>
        </w:rPr>
        <w:t xml:space="preserve"> </w:t>
      </w:r>
      <w:r w:rsidR="00AB2BBC" w:rsidRPr="006B5198">
        <w:rPr>
          <w:color w:val="002060"/>
          <w:lang w:val="en-AU"/>
        </w:rPr>
        <w:t>pg. 4</w:t>
      </w:r>
    </w:p>
    <w:p w14:paraId="77663467" w14:textId="15E65F2D" w:rsidR="00AB2BBC" w:rsidRPr="00AB2BBC" w:rsidRDefault="00AB2BBC" w:rsidP="00601A49">
      <w:pPr>
        <w:pStyle w:val="ListParagraph"/>
        <w:numPr>
          <w:ilvl w:val="0"/>
          <w:numId w:val="27"/>
        </w:numPr>
        <w:spacing w:before="120" w:after="120"/>
        <w:ind w:left="357" w:hanging="357"/>
        <w:contextualSpacing w:val="0"/>
        <w:rPr>
          <w:rStyle w:val="Hyperlink"/>
          <w:color w:val="002060"/>
          <w:lang w:val="en-AU"/>
        </w:rPr>
      </w:pPr>
      <w:r w:rsidRPr="00AB2BBC">
        <w:rPr>
          <w:rStyle w:val="Hyperlink"/>
          <w:color w:val="002060"/>
          <w:lang w:val="en-AU"/>
        </w:rPr>
        <w:t>How often do I need to get consent?</w:t>
      </w:r>
      <w:r>
        <w:rPr>
          <w:rStyle w:val="Hyperlink"/>
          <w:color w:val="002060"/>
          <w:lang w:val="en-AU"/>
        </w:rPr>
        <w:t xml:space="preserve"> </w:t>
      </w:r>
      <w:r w:rsidRPr="00AB2BBC">
        <w:rPr>
          <w:rStyle w:val="Hyperlink"/>
          <w:color w:val="002060"/>
          <w:u w:val="none"/>
          <w:lang w:val="en-AU"/>
        </w:rPr>
        <w:t>..................................</w:t>
      </w:r>
      <w:r>
        <w:rPr>
          <w:rStyle w:val="Hyperlink"/>
          <w:color w:val="002060"/>
          <w:u w:val="none"/>
          <w:lang w:val="en-AU"/>
        </w:rPr>
        <w:t>..........................</w:t>
      </w:r>
      <w:r w:rsidR="00612A59">
        <w:rPr>
          <w:rStyle w:val="Hyperlink"/>
          <w:color w:val="002060"/>
          <w:u w:val="none"/>
          <w:lang w:val="en-AU"/>
        </w:rPr>
        <w:t>..........</w:t>
      </w:r>
      <w:r w:rsidRPr="00AB2BBC">
        <w:rPr>
          <w:color w:val="002060"/>
          <w:lang w:val="en-AU"/>
        </w:rPr>
        <w:t xml:space="preserve"> </w:t>
      </w:r>
      <w:r w:rsidRPr="006B5198">
        <w:rPr>
          <w:color w:val="002060"/>
          <w:lang w:val="en-AU"/>
        </w:rPr>
        <w:t>pg. 4</w:t>
      </w:r>
    </w:p>
    <w:p w14:paraId="26F542B0" w14:textId="46D181E9" w:rsidR="001C3AB6" w:rsidRPr="006B5198" w:rsidRDefault="00612A59" w:rsidP="00601A49">
      <w:pPr>
        <w:pStyle w:val="ListParagraph"/>
        <w:numPr>
          <w:ilvl w:val="0"/>
          <w:numId w:val="27"/>
        </w:numPr>
        <w:spacing w:before="120" w:after="120"/>
        <w:ind w:left="357" w:hanging="357"/>
        <w:contextualSpacing w:val="0"/>
        <w:rPr>
          <w:color w:val="002060"/>
          <w:lang w:val="en-AU"/>
        </w:rPr>
      </w:pPr>
      <w:hyperlink w:anchor="Question4" w:history="1">
        <w:r w:rsidR="001C3AB6" w:rsidRPr="006B5198">
          <w:rPr>
            <w:rStyle w:val="Hyperlink"/>
            <w:color w:val="002060"/>
            <w:lang w:val="en-AU"/>
          </w:rPr>
          <w:t>What do I need to tell my clients about the Data Exchange?</w:t>
        </w:r>
      </w:hyperlink>
      <w:r w:rsidR="008E147C" w:rsidRPr="006B5198">
        <w:rPr>
          <w:color w:val="002060"/>
          <w:lang w:val="en-AU"/>
        </w:rPr>
        <w:t xml:space="preserve"> </w:t>
      </w:r>
      <w:r w:rsidR="007F7F1C" w:rsidRPr="006B5198">
        <w:rPr>
          <w:color w:val="002060"/>
          <w:lang w:val="en-AU"/>
        </w:rPr>
        <w:t>.......</w:t>
      </w:r>
      <w:r w:rsidR="00601A49">
        <w:rPr>
          <w:color w:val="002060"/>
          <w:lang w:val="en-AU"/>
        </w:rPr>
        <w:t>...</w:t>
      </w:r>
      <w:r w:rsidR="008E147C" w:rsidRPr="006B5198">
        <w:rPr>
          <w:color w:val="002060"/>
          <w:lang w:val="en-AU"/>
        </w:rPr>
        <w:t>...</w:t>
      </w:r>
      <w:r>
        <w:rPr>
          <w:color w:val="002060"/>
          <w:lang w:val="en-AU"/>
        </w:rPr>
        <w:t>...........</w:t>
      </w:r>
      <w:r w:rsidR="00AB2BBC">
        <w:rPr>
          <w:color w:val="002060"/>
          <w:lang w:val="en-AU"/>
        </w:rPr>
        <w:t xml:space="preserve"> pg. 5</w:t>
      </w:r>
    </w:p>
    <w:p w14:paraId="2A0C29BD" w14:textId="3BAFBA47" w:rsidR="00B77A6C" w:rsidRPr="00AB2BBC" w:rsidRDefault="00612A59" w:rsidP="00AB2BBC">
      <w:pPr>
        <w:pStyle w:val="ListParagraph"/>
        <w:numPr>
          <w:ilvl w:val="0"/>
          <w:numId w:val="27"/>
        </w:numPr>
        <w:spacing w:before="120" w:after="120"/>
        <w:ind w:left="357" w:hanging="357"/>
        <w:contextualSpacing w:val="0"/>
        <w:rPr>
          <w:color w:val="002060"/>
          <w:lang w:val="en-AU"/>
        </w:rPr>
      </w:pPr>
      <w:hyperlink w:anchor="Question5" w:history="1">
        <w:r w:rsidR="001C3AB6" w:rsidRPr="006B5198">
          <w:rPr>
            <w:rStyle w:val="Hyperlink"/>
            <w:color w:val="002060"/>
            <w:lang w:val="en-AU"/>
          </w:rPr>
          <w:t>What do I need to tell my clients about consent?</w:t>
        </w:r>
      </w:hyperlink>
      <w:r w:rsidR="008E147C" w:rsidRPr="006B5198">
        <w:rPr>
          <w:color w:val="002060"/>
          <w:lang w:val="en-AU"/>
        </w:rPr>
        <w:t xml:space="preserve"> </w:t>
      </w:r>
      <w:r w:rsidR="00601A49">
        <w:rPr>
          <w:color w:val="002060"/>
          <w:lang w:val="en-AU"/>
        </w:rPr>
        <w:t>......................</w:t>
      </w:r>
      <w:r w:rsidR="00AB2BBC">
        <w:rPr>
          <w:color w:val="002060"/>
          <w:lang w:val="en-AU"/>
        </w:rPr>
        <w:t>.............</w:t>
      </w:r>
      <w:r>
        <w:rPr>
          <w:color w:val="002060"/>
          <w:lang w:val="en-AU"/>
        </w:rPr>
        <w:t>...........</w:t>
      </w:r>
      <w:r w:rsidR="008E147C" w:rsidRPr="006B5198">
        <w:rPr>
          <w:color w:val="002060"/>
          <w:lang w:val="en-AU"/>
        </w:rPr>
        <w:t xml:space="preserve"> pg. </w:t>
      </w:r>
      <w:r w:rsidR="00AB2BBC">
        <w:rPr>
          <w:color w:val="002060"/>
          <w:lang w:val="en-AU"/>
        </w:rPr>
        <w:t>6</w:t>
      </w:r>
    </w:p>
    <w:p w14:paraId="2FA9FC4C" w14:textId="35DD5341" w:rsidR="007E3615" w:rsidRPr="006B5198" w:rsidRDefault="00612A59" w:rsidP="00601A49">
      <w:pPr>
        <w:pStyle w:val="ListParagraph"/>
        <w:numPr>
          <w:ilvl w:val="0"/>
          <w:numId w:val="27"/>
        </w:numPr>
        <w:spacing w:before="120" w:after="120"/>
        <w:ind w:left="357" w:hanging="357"/>
        <w:contextualSpacing w:val="0"/>
        <w:rPr>
          <w:color w:val="002060"/>
          <w:lang w:val="en-AU"/>
        </w:rPr>
      </w:pPr>
      <w:hyperlink w:anchor="Question7" w:history="1">
        <w:r w:rsidR="007E3615" w:rsidRPr="006B5198">
          <w:rPr>
            <w:rStyle w:val="Hyperlink"/>
            <w:color w:val="002060"/>
            <w:lang w:val="en-AU"/>
          </w:rPr>
          <w:t>What if my organisation chooses not to store personal information in the</w:t>
        </w:r>
        <w:r w:rsidR="008E147C" w:rsidRPr="006B5198">
          <w:rPr>
            <w:rStyle w:val="Hyperlink"/>
            <w:color w:val="002060"/>
            <w:lang w:val="en-AU"/>
          </w:rPr>
          <w:t xml:space="preserve">       </w:t>
        </w:r>
        <w:r w:rsidR="007E3615" w:rsidRPr="006B5198">
          <w:rPr>
            <w:rStyle w:val="Hyperlink"/>
            <w:color w:val="002060"/>
            <w:lang w:val="en-AU"/>
          </w:rPr>
          <w:t xml:space="preserve"> Data Exchange?</w:t>
        </w:r>
      </w:hyperlink>
      <w:r w:rsidR="008E147C" w:rsidRPr="006B5198">
        <w:rPr>
          <w:color w:val="002060"/>
          <w:lang w:val="en-AU"/>
        </w:rPr>
        <w:t xml:space="preserve"> ......................................................</w:t>
      </w:r>
      <w:r w:rsidR="00601A49">
        <w:rPr>
          <w:color w:val="002060"/>
          <w:lang w:val="en-AU"/>
        </w:rPr>
        <w:t>..............................</w:t>
      </w:r>
      <w:r w:rsidR="008E147C" w:rsidRPr="006B5198">
        <w:rPr>
          <w:color w:val="002060"/>
          <w:lang w:val="en-AU"/>
        </w:rPr>
        <w:t>.</w:t>
      </w:r>
      <w:r>
        <w:rPr>
          <w:color w:val="002060"/>
          <w:lang w:val="en-AU"/>
        </w:rPr>
        <w:t>...........................</w:t>
      </w:r>
      <w:r w:rsidR="008E147C" w:rsidRPr="006B5198">
        <w:rPr>
          <w:color w:val="002060"/>
          <w:lang w:val="en-AU"/>
        </w:rPr>
        <w:t xml:space="preserve"> pg. 6</w:t>
      </w:r>
    </w:p>
    <w:p w14:paraId="2740B1C6" w14:textId="608639C3" w:rsidR="001C3AB6" w:rsidRPr="006B5198" w:rsidRDefault="00612A59" w:rsidP="00601A49">
      <w:pPr>
        <w:pStyle w:val="ListParagraph"/>
        <w:numPr>
          <w:ilvl w:val="0"/>
          <w:numId w:val="27"/>
        </w:numPr>
        <w:spacing w:before="120" w:after="120"/>
        <w:ind w:left="357" w:hanging="357"/>
        <w:contextualSpacing w:val="0"/>
        <w:rPr>
          <w:color w:val="002060"/>
          <w:lang w:val="en-AU"/>
        </w:rPr>
      </w:pPr>
      <w:hyperlink w:anchor="Question8" w:history="1">
        <w:r w:rsidR="001C3AB6" w:rsidRPr="006B5198">
          <w:rPr>
            <w:rStyle w:val="Hyperlink"/>
            <w:color w:val="002060"/>
            <w:lang w:val="en-AU"/>
          </w:rPr>
          <w:t>Wha</w:t>
        </w:r>
        <w:r w:rsidR="00B77A6C" w:rsidRPr="006B5198">
          <w:rPr>
            <w:rStyle w:val="Hyperlink"/>
            <w:color w:val="002060"/>
            <w:lang w:val="en-AU"/>
          </w:rPr>
          <w:t>t privacy protocols does DSS have in place?</w:t>
        </w:r>
      </w:hyperlink>
      <w:r w:rsidR="008E147C" w:rsidRPr="006B5198">
        <w:rPr>
          <w:color w:val="002060"/>
          <w:lang w:val="en-AU"/>
        </w:rPr>
        <w:t xml:space="preserve"> </w:t>
      </w:r>
      <w:r w:rsidR="00B77A6C" w:rsidRPr="006B5198">
        <w:rPr>
          <w:color w:val="002060"/>
          <w:lang w:val="en-AU"/>
        </w:rPr>
        <w:t>...</w:t>
      </w:r>
      <w:r w:rsidR="008E147C" w:rsidRPr="006B5198">
        <w:rPr>
          <w:color w:val="002060"/>
          <w:lang w:val="en-AU"/>
        </w:rPr>
        <w:t>................</w:t>
      </w:r>
      <w:r w:rsidR="00601A49">
        <w:rPr>
          <w:color w:val="002060"/>
          <w:lang w:val="en-AU"/>
        </w:rPr>
        <w:t>.................</w:t>
      </w:r>
      <w:r>
        <w:rPr>
          <w:color w:val="002060"/>
          <w:lang w:val="en-AU"/>
        </w:rPr>
        <w:t>..........</w:t>
      </w:r>
      <w:r w:rsidR="00AB2BBC">
        <w:rPr>
          <w:color w:val="002060"/>
          <w:lang w:val="en-AU"/>
        </w:rPr>
        <w:t xml:space="preserve"> pg. 7</w:t>
      </w:r>
    </w:p>
    <w:p w14:paraId="77F0BB50" w14:textId="391ECD7C" w:rsidR="001C3AB6" w:rsidRPr="006B5198" w:rsidRDefault="00612A59" w:rsidP="00601A49">
      <w:pPr>
        <w:pStyle w:val="ListParagraph"/>
        <w:numPr>
          <w:ilvl w:val="0"/>
          <w:numId w:val="27"/>
        </w:numPr>
        <w:spacing w:before="120" w:after="120"/>
        <w:ind w:left="357" w:hanging="357"/>
        <w:contextualSpacing w:val="0"/>
        <w:rPr>
          <w:color w:val="002060"/>
          <w:lang w:val="en-AU"/>
        </w:rPr>
      </w:pPr>
      <w:hyperlink w:anchor="Question9" w:history="1">
        <w:r w:rsidR="001C3AB6" w:rsidRPr="006B5198">
          <w:rPr>
            <w:rStyle w:val="Hyperlink"/>
            <w:color w:val="002060"/>
            <w:lang w:val="en-AU"/>
          </w:rPr>
          <w:t>How do DSS and DCJ use the information stored in the Data</w:t>
        </w:r>
        <w:r w:rsidR="00601A49">
          <w:rPr>
            <w:rStyle w:val="Hyperlink"/>
            <w:color w:val="002060"/>
            <w:lang w:val="en-AU"/>
          </w:rPr>
          <w:t xml:space="preserve">  </w:t>
        </w:r>
        <w:r w:rsidR="001C3AB6" w:rsidRPr="006B5198">
          <w:rPr>
            <w:rStyle w:val="Hyperlink"/>
            <w:color w:val="002060"/>
            <w:lang w:val="en-AU"/>
          </w:rPr>
          <w:t xml:space="preserve"> Exchange?</w:t>
        </w:r>
      </w:hyperlink>
      <w:r w:rsidR="008E147C" w:rsidRPr="006B5198">
        <w:rPr>
          <w:color w:val="002060"/>
          <w:lang w:val="en-AU"/>
        </w:rPr>
        <w:t xml:space="preserve"> </w:t>
      </w:r>
      <w:r w:rsidR="007F7F1C" w:rsidRPr="006B5198">
        <w:rPr>
          <w:color w:val="002060"/>
          <w:lang w:val="en-AU"/>
        </w:rPr>
        <w:t>.......</w:t>
      </w:r>
      <w:r w:rsidR="00601A49">
        <w:rPr>
          <w:color w:val="002060"/>
          <w:lang w:val="en-AU"/>
        </w:rPr>
        <w:t>.........................................................................................................</w:t>
      </w:r>
      <w:r>
        <w:rPr>
          <w:color w:val="002060"/>
          <w:lang w:val="en-AU"/>
        </w:rPr>
        <w:t>..................................</w:t>
      </w:r>
      <w:r w:rsidR="008E147C" w:rsidRPr="006B5198">
        <w:rPr>
          <w:color w:val="002060"/>
          <w:lang w:val="en-AU"/>
        </w:rPr>
        <w:t xml:space="preserve"> pg. 7</w:t>
      </w:r>
    </w:p>
    <w:p w14:paraId="694EE9B7" w14:textId="68BD61CA" w:rsidR="00B77A6C" w:rsidRPr="006B5198" w:rsidRDefault="00612A59" w:rsidP="00601A49">
      <w:pPr>
        <w:pStyle w:val="ListParagraph"/>
        <w:numPr>
          <w:ilvl w:val="0"/>
          <w:numId w:val="27"/>
        </w:numPr>
        <w:spacing w:before="120" w:after="120"/>
        <w:ind w:left="357" w:hanging="357"/>
        <w:contextualSpacing w:val="0"/>
        <w:rPr>
          <w:color w:val="002060"/>
          <w:lang w:val="en-AU"/>
        </w:rPr>
      </w:pPr>
      <w:hyperlink w:anchor="Question10" w:history="1">
        <w:r w:rsidR="00B77A6C" w:rsidRPr="006B5198">
          <w:rPr>
            <w:rStyle w:val="Hyperlink"/>
            <w:color w:val="002060"/>
            <w:lang w:val="en-AU"/>
          </w:rPr>
          <w:t>What is a statistical linkage key?</w:t>
        </w:r>
      </w:hyperlink>
      <w:r w:rsidR="006B5198" w:rsidRPr="006B5198">
        <w:rPr>
          <w:color w:val="002060"/>
          <w:lang w:val="en-AU"/>
        </w:rPr>
        <w:t xml:space="preserve"> </w:t>
      </w:r>
      <w:r w:rsidR="00B77A6C" w:rsidRPr="006B5198">
        <w:rPr>
          <w:color w:val="002060"/>
          <w:lang w:val="en-AU"/>
        </w:rPr>
        <w:t>................</w:t>
      </w:r>
      <w:r w:rsidR="008E147C" w:rsidRPr="006B5198">
        <w:rPr>
          <w:color w:val="002060"/>
          <w:lang w:val="en-AU"/>
        </w:rPr>
        <w:t>.......................................</w:t>
      </w:r>
      <w:r w:rsidR="00AB2BBC">
        <w:rPr>
          <w:color w:val="002060"/>
          <w:lang w:val="en-AU"/>
        </w:rPr>
        <w:t>.............</w:t>
      </w:r>
      <w:r>
        <w:rPr>
          <w:color w:val="002060"/>
          <w:lang w:val="en-AU"/>
        </w:rPr>
        <w:t>...........</w:t>
      </w:r>
      <w:r w:rsidR="00AB2BBC">
        <w:rPr>
          <w:color w:val="002060"/>
          <w:lang w:val="en-AU"/>
        </w:rPr>
        <w:t xml:space="preserve"> pg. 8</w:t>
      </w:r>
    </w:p>
    <w:p w14:paraId="136902DA" w14:textId="77777777" w:rsidR="00F32082" w:rsidRPr="00F32082" w:rsidRDefault="00F32082" w:rsidP="00966946">
      <w:pPr>
        <w:pStyle w:val="ListParagraph"/>
        <w:spacing w:before="240" w:after="0"/>
        <w:ind w:left="357"/>
        <w:contextualSpacing w:val="0"/>
        <w:rPr>
          <w:lang w:val="en-AU"/>
        </w:rPr>
      </w:pPr>
    </w:p>
    <w:tbl>
      <w:tblPr>
        <w:tblStyle w:val="TableGrid"/>
        <w:tblW w:w="0" w:type="auto"/>
        <w:tblLook w:val="04A0" w:firstRow="1" w:lastRow="0" w:firstColumn="1" w:lastColumn="0" w:noHBand="0" w:noVBand="1"/>
      </w:tblPr>
      <w:tblGrid>
        <w:gridCol w:w="9587"/>
      </w:tblGrid>
      <w:tr w:rsidR="00F51186" w14:paraId="143294A9" w14:textId="77777777" w:rsidTr="00966946">
        <w:tc>
          <w:tcPr>
            <w:tcW w:w="10041" w:type="dxa"/>
            <w:tcBorders>
              <w:top w:val="single" w:sz="18" w:space="0" w:color="C00000"/>
              <w:left w:val="single" w:sz="18" w:space="0" w:color="C00000"/>
              <w:bottom w:val="single" w:sz="18" w:space="0" w:color="C00000"/>
              <w:right w:val="single" w:sz="18" w:space="0" w:color="C00000"/>
            </w:tcBorders>
            <w:shd w:val="clear" w:color="auto" w:fill="FFFFFF" w:themeFill="background1"/>
          </w:tcPr>
          <w:p w14:paraId="3E9F11DA" w14:textId="77777777" w:rsidR="00F51186" w:rsidRPr="00F51186" w:rsidRDefault="00F51186" w:rsidP="00F51186">
            <w:pPr>
              <w:spacing w:before="160"/>
              <w:rPr>
                <w:b/>
                <w:color w:val="C00000"/>
                <w:sz w:val="28"/>
                <w:szCs w:val="28"/>
              </w:rPr>
            </w:pPr>
            <w:r w:rsidRPr="00F51186">
              <w:rPr>
                <w:b/>
                <w:color w:val="C00000"/>
                <w:sz w:val="28"/>
                <w:szCs w:val="28"/>
              </w:rPr>
              <w:t>Important note</w:t>
            </w:r>
          </w:p>
          <w:p w14:paraId="777CBBEC" w14:textId="77777777" w:rsidR="00966946" w:rsidRDefault="00F51186" w:rsidP="00966946">
            <w:pPr>
              <w:spacing w:before="160"/>
            </w:pPr>
            <w:r>
              <w:t>This document only outlines the consent and privacy principles</w:t>
            </w:r>
            <w:r w:rsidR="00966946">
              <w:t xml:space="preserve"> </w:t>
            </w:r>
            <w:r>
              <w:t xml:space="preserve">relevant </w:t>
            </w:r>
            <w:r w:rsidR="00F32082">
              <w:t xml:space="preserve">to using the Data Exchange. </w:t>
            </w:r>
          </w:p>
          <w:p w14:paraId="074243E0" w14:textId="77777777" w:rsidR="00F51186" w:rsidRPr="00F51186" w:rsidRDefault="00D3176E" w:rsidP="00C26739">
            <w:pPr>
              <w:spacing w:before="160"/>
            </w:pPr>
            <w:r>
              <w:t xml:space="preserve">Service providers must seek consent for their own collection, storage and use of client information. This is separate to the consent sought for using the Data Exchange. Service providers </w:t>
            </w:r>
            <w:r w:rsidR="00C26739">
              <w:t>must</w:t>
            </w:r>
            <w:r>
              <w:t xml:space="preserve"> ensure their practices are compliant with the </w:t>
            </w:r>
            <w:hyperlink r:id="rId11" w:history="1">
              <w:r w:rsidRPr="0074463F">
                <w:rPr>
                  <w:rStyle w:val="Hyperlink"/>
                </w:rPr>
                <w:t>Human Services Agreement – Standard Terms</w:t>
              </w:r>
            </w:hyperlink>
            <w:r>
              <w:t>.</w:t>
            </w:r>
          </w:p>
        </w:tc>
      </w:tr>
    </w:tbl>
    <w:p w14:paraId="737DD848" w14:textId="77777777" w:rsidR="00966946" w:rsidRDefault="00966946" w:rsidP="00966946"/>
    <w:p w14:paraId="3DDF2789" w14:textId="77777777" w:rsidR="00853CBB" w:rsidRPr="007E3615" w:rsidRDefault="00853CBB" w:rsidP="00DC0D8A">
      <w:pPr>
        <w:pStyle w:val="H1"/>
        <w:numPr>
          <w:ilvl w:val="0"/>
          <w:numId w:val="28"/>
        </w:numPr>
        <w:ind w:left="357" w:hanging="357"/>
        <w:rPr>
          <w:sz w:val="32"/>
          <w:szCs w:val="32"/>
        </w:rPr>
      </w:pPr>
      <w:bookmarkStart w:id="0" w:name="Question1"/>
      <w:r w:rsidRPr="007E3615">
        <w:rPr>
          <w:sz w:val="32"/>
          <w:szCs w:val="32"/>
        </w:rPr>
        <w:t>What consent do I need to collect</w:t>
      </w:r>
      <w:r w:rsidR="007D3263" w:rsidRPr="007E3615">
        <w:rPr>
          <w:sz w:val="32"/>
          <w:szCs w:val="32"/>
        </w:rPr>
        <w:t xml:space="preserve"> when using the Data Exchange</w:t>
      </w:r>
      <w:r w:rsidRPr="007E3615">
        <w:rPr>
          <w:sz w:val="32"/>
          <w:szCs w:val="32"/>
        </w:rPr>
        <w:t>?</w:t>
      </w:r>
    </w:p>
    <w:bookmarkEnd w:id="0"/>
    <w:p w14:paraId="34FC8378" w14:textId="77777777" w:rsidR="00ED6ACE" w:rsidRPr="00444C26" w:rsidRDefault="00ED6ACE" w:rsidP="00ED6ACE">
      <w:pPr>
        <w:pStyle w:val="ListParagraph"/>
        <w:numPr>
          <w:ilvl w:val="0"/>
          <w:numId w:val="18"/>
        </w:numPr>
        <w:rPr>
          <w:b/>
          <w:color w:val="002060"/>
          <w:lang w:val="en-AU"/>
        </w:rPr>
      </w:pPr>
      <w:r w:rsidRPr="00444C26">
        <w:rPr>
          <w:b/>
          <w:color w:val="002060"/>
          <w:lang w:val="en-AU"/>
        </w:rPr>
        <w:t xml:space="preserve">Consent to </w:t>
      </w:r>
      <w:r w:rsidR="00FB20EE">
        <w:rPr>
          <w:b/>
          <w:color w:val="002060"/>
          <w:lang w:val="en-AU"/>
        </w:rPr>
        <w:t>have personal information stored</w:t>
      </w:r>
      <w:r w:rsidRPr="00444C26">
        <w:rPr>
          <w:b/>
          <w:color w:val="002060"/>
          <w:lang w:val="en-AU"/>
        </w:rPr>
        <w:t xml:space="preserve"> in the Data Exchange</w:t>
      </w:r>
    </w:p>
    <w:p w14:paraId="564C5E1F" w14:textId="77777777" w:rsidR="007856FF" w:rsidRDefault="00EE1593" w:rsidP="005D5568">
      <w:pPr>
        <w:rPr>
          <w:lang w:val="en-AU"/>
        </w:rPr>
      </w:pPr>
      <w:r>
        <w:rPr>
          <w:lang w:val="en-AU"/>
        </w:rPr>
        <w:t>All service providers must obtain client</w:t>
      </w:r>
      <w:r w:rsidR="00ED6ACE">
        <w:rPr>
          <w:lang w:val="en-AU"/>
        </w:rPr>
        <w:t xml:space="preserve"> consent before stor</w:t>
      </w:r>
      <w:r>
        <w:rPr>
          <w:lang w:val="en-AU"/>
        </w:rPr>
        <w:t>ing</w:t>
      </w:r>
      <w:r w:rsidRPr="006B5198">
        <w:rPr>
          <w:lang w:val="en-AU"/>
        </w:rPr>
        <w:t xml:space="preserve"> </w:t>
      </w:r>
      <w:r w:rsidR="005045F4" w:rsidRPr="006B5198">
        <w:rPr>
          <w:lang w:val="en-AU"/>
        </w:rPr>
        <w:t xml:space="preserve">a client’s </w:t>
      </w:r>
      <w:r w:rsidRPr="006B5198">
        <w:rPr>
          <w:lang w:val="en-AU"/>
        </w:rPr>
        <w:t>personal information in the Data Exchange</w:t>
      </w:r>
      <w:r w:rsidR="00F23F95" w:rsidRPr="006B5198">
        <w:rPr>
          <w:lang w:val="en-AU"/>
        </w:rPr>
        <w:t xml:space="preserve"> – </w:t>
      </w:r>
      <w:r w:rsidR="007856FF" w:rsidRPr="006B5198">
        <w:rPr>
          <w:lang w:val="en-AU"/>
        </w:rPr>
        <w:t>this is mandatory</w:t>
      </w:r>
      <w:r w:rsidRPr="006B5198">
        <w:rPr>
          <w:lang w:val="en-AU"/>
        </w:rPr>
        <w:t>.</w:t>
      </w:r>
      <w:r>
        <w:rPr>
          <w:lang w:val="en-AU"/>
        </w:rPr>
        <w:t xml:space="preserve"> </w:t>
      </w:r>
    </w:p>
    <w:p w14:paraId="4AC3A8B2" w14:textId="77777777" w:rsidR="00EE1593" w:rsidRDefault="00EE1593" w:rsidP="005D5568">
      <w:pPr>
        <w:rPr>
          <w:lang w:val="en-AU"/>
        </w:rPr>
      </w:pPr>
      <w:r>
        <w:rPr>
          <w:lang w:val="en-AU"/>
        </w:rPr>
        <w:t>In the Data Exchange, personal information is the client’s:</w:t>
      </w:r>
    </w:p>
    <w:p w14:paraId="4F2BA1E9" w14:textId="77777777" w:rsidR="00EE1593" w:rsidRDefault="00EE1593" w:rsidP="00EE1593">
      <w:pPr>
        <w:pStyle w:val="ListParagraph"/>
        <w:numPr>
          <w:ilvl w:val="0"/>
          <w:numId w:val="17"/>
        </w:numPr>
        <w:rPr>
          <w:lang w:val="en-AU"/>
        </w:rPr>
      </w:pPr>
      <w:r>
        <w:rPr>
          <w:lang w:val="en-AU"/>
        </w:rPr>
        <w:t>first name</w:t>
      </w:r>
    </w:p>
    <w:p w14:paraId="57EF3B0A" w14:textId="77777777" w:rsidR="00EE1593" w:rsidRDefault="00EE1593" w:rsidP="00EE1593">
      <w:pPr>
        <w:pStyle w:val="ListParagraph"/>
        <w:numPr>
          <w:ilvl w:val="0"/>
          <w:numId w:val="17"/>
        </w:numPr>
        <w:rPr>
          <w:lang w:val="en-AU"/>
        </w:rPr>
      </w:pPr>
      <w:r>
        <w:rPr>
          <w:lang w:val="en-AU"/>
        </w:rPr>
        <w:t>last name</w:t>
      </w:r>
    </w:p>
    <w:p w14:paraId="0FB8CED8" w14:textId="77777777" w:rsidR="00EE1593" w:rsidRDefault="00986507" w:rsidP="00EE1593">
      <w:pPr>
        <w:pStyle w:val="ListParagraph"/>
        <w:numPr>
          <w:ilvl w:val="0"/>
          <w:numId w:val="17"/>
        </w:numPr>
        <w:rPr>
          <w:lang w:val="en-AU"/>
        </w:rPr>
      </w:pPr>
      <w:r>
        <w:rPr>
          <w:lang w:val="en-AU"/>
        </w:rPr>
        <w:t>street-level address</w:t>
      </w:r>
      <w:r w:rsidR="00597A16">
        <w:rPr>
          <w:lang w:val="en-AU"/>
        </w:rPr>
        <w:t xml:space="preserve"> details (e.g. 1 Main Street)</w:t>
      </w:r>
    </w:p>
    <w:p w14:paraId="26937196" w14:textId="6641F36E" w:rsidR="00986507" w:rsidRDefault="00986507" w:rsidP="00986507">
      <w:pPr>
        <w:rPr>
          <w:lang w:val="en-AU"/>
        </w:rPr>
      </w:pPr>
      <w:r>
        <w:rPr>
          <w:lang w:val="en-AU"/>
        </w:rPr>
        <w:t xml:space="preserve">When </w:t>
      </w:r>
      <w:r w:rsidR="00A65837">
        <w:rPr>
          <w:lang w:val="en-AU"/>
        </w:rPr>
        <w:t>a client does not give their consent,</w:t>
      </w:r>
      <w:r>
        <w:rPr>
          <w:lang w:val="en-AU"/>
        </w:rPr>
        <w:t xml:space="preserve"> this information </w:t>
      </w:r>
      <w:r w:rsidR="00A65837">
        <w:rPr>
          <w:lang w:val="en-AU"/>
        </w:rPr>
        <w:t>should</w:t>
      </w:r>
      <w:r>
        <w:rPr>
          <w:lang w:val="en-AU"/>
        </w:rPr>
        <w:t xml:space="preserve"> not</w:t>
      </w:r>
      <w:r w:rsidR="00A65837">
        <w:rPr>
          <w:lang w:val="en-AU"/>
        </w:rPr>
        <w:t xml:space="preserve"> be</w:t>
      </w:r>
      <w:r>
        <w:rPr>
          <w:lang w:val="en-AU"/>
        </w:rPr>
        <w:t xml:space="preserve"> </w:t>
      </w:r>
      <w:r w:rsidRPr="00092E01">
        <w:rPr>
          <w:b/>
          <w:lang w:val="en-AU"/>
        </w:rPr>
        <w:t>stored</w:t>
      </w:r>
      <w:r>
        <w:rPr>
          <w:lang w:val="en-AU"/>
        </w:rPr>
        <w:t xml:space="preserve"> in the Data Exchange.</w:t>
      </w:r>
      <w:r w:rsidR="00597A16">
        <w:rPr>
          <w:lang w:val="en-AU"/>
        </w:rPr>
        <w:t xml:space="preserve"> </w:t>
      </w:r>
      <w:r w:rsidR="00092E01">
        <w:rPr>
          <w:lang w:val="en-AU"/>
        </w:rPr>
        <w:t>However,</w:t>
      </w:r>
      <w:r w:rsidR="001A0981">
        <w:rPr>
          <w:lang w:val="en-AU"/>
        </w:rPr>
        <w:t xml:space="preserve"> you can still record</w:t>
      </w:r>
      <w:r w:rsidR="00ED6ACE">
        <w:rPr>
          <w:lang w:val="en-AU"/>
        </w:rPr>
        <w:t xml:space="preserve"> other informa</w:t>
      </w:r>
      <w:r w:rsidR="00DE66D6">
        <w:rPr>
          <w:lang w:val="en-AU"/>
        </w:rPr>
        <w:t>tion about the client</w:t>
      </w:r>
      <w:r w:rsidR="00ED6ACE">
        <w:rPr>
          <w:lang w:val="en-AU"/>
        </w:rPr>
        <w:t xml:space="preserve"> (e.g. gender, date of birth, cultural background,</w:t>
      </w:r>
      <w:r w:rsidR="002F64F6">
        <w:rPr>
          <w:lang w:val="en-AU"/>
        </w:rPr>
        <w:t xml:space="preserve"> client outcome and satisfaction information</w:t>
      </w:r>
      <w:r w:rsidR="00ED6ACE">
        <w:rPr>
          <w:lang w:val="en-AU"/>
        </w:rPr>
        <w:t>).</w:t>
      </w:r>
      <w:r>
        <w:rPr>
          <w:lang w:val="en-AU"/>
        </w:rPr>
        <w:t xml:space="preserve"> </w:t>
      </w:r>
    </w:p>
    <w:p w14:paraId="25E02AD9" w14:textId="51452FA7" w:rsidR="007E4520" w:rsidRPr="00842D85" w:rsidRDefault="00842D85" w:rsidP="00842D85">
      <w:pPr>
        <w:rPr>
          <w:lang w:val="en-AU"/>
        </w:rPr>
      </w:pPr>
      <w:r w:rsidRPr="00842D85">
        <w:rPr>
          <w:b/>
          <w:lang w:val="en-AU"/>
        </w:rPr>
        <w:t>Note:</w:t>
      </w:r>
      <w:r>
        <w:rPr>
          <w:lang w:val="en-AU"/>
        </w:rPr>
        <w:t xml:space="preserve"> </w:t>
      </w:r>
      <w:r w:rsidR="001A0981">
        <w:rPr>
          <w:lang w:val="en-AU"/>
        </w:rPr>
        <w:t>if you conduct</w:t>
      </w:r>
      <w:r>
        <w:rPr>
          <w:lang w:val="en-AU"/>
        </w:rPr>
        <w:t xml:space="preserve"> bulk uploads or system-to-system transfers </w:t>
      </w:r>
      <w:r w:rsidR="001A0981">
        <w:rPr>
          <w:lang w:val="en-AU"/>
        </w:rPr>
        <w:t xml:space="preserve">you </w:t>
      </w:r>
      <w:r>
        <w:rPr>
          <w:lang w:val="en-AU"/>
        </w:rPr>
        <w:t>may choose not to store client’s personal information in t</w:t>
      </w:r>
      <w:r w:rsidR="008111EC">
        <w:rPr>
          <w:lang w:val="en-AU"/>
        </w:rPr>
        <w:t>he Data Exchange. See Question 7</w:t>
      </w:r>
      <w:r>
        <w:rPr>
          <w:lang w:val="en-AU"/>
        </w:rPr>
        <w:t xml:space="preserve">. </w:t>
      </w:r>
    </w:p>
    <w:p w14:paraId="23D8A013" w14:textId="7FC49275" w:rsidR="00EE1593" w:rsidRPr="00444C26" w:rsidRDefault="00EB33CB" w:rsidP="00EB33CB">
      <w:pPr>
        <w:pStyle w:val="ListParagraph"/>
        <w:numPr>
          <w:ilvl w:val="0"/>
          <w:numId w:val="18"/>
        </w:numPr>
        <w:rPr>
          <w:b/>
          <w:color w:val="002060"/>
          <w:lang w:val="en-AU"/>
        </w:rPr>
      </w:pPr>
      <w:r w:rsidRPr="00444C26">
        <w:rPr>
          <w:b/>
          <w:color w:val="002060"/>
          <w:lang w:val="en-AU"/>
        </w:rPr>
        <w:t xml:space="preserve">Consent to participate in </w:t>
      </w:r>
      <w:r w:rsidR="00623DC5">
        <w:rPr>
          <w:b/>
          <w:color w:val="002060"/>
          <w:lang w:val="en-AU"/>
        </w:rPr>
        <w:t>follow up research, surveys</w:t>
      </w:r>
      <w:r w:rsidR="001A0981">
        <w:rPr>
          <w:b/>
          <w:color w:val="002060"/>
          <w:lang w:val="en-AU"/>
        </w:rPr>
        <w:t>,</w:t>
      </w:r>
      <w:r w:rsidR="00623DC5">
        <w:rPr>
          <w:b/>
          <w:color w:val="002060"/>
          <w:lang w:val="en-AU"/>
        </w:rPr>
        <w:t xml:space="preserve"> and evaluation</w:t>
      </w:r>
    </w:p>
    <w:p w14:paraId="248E3CF0" w14:textId="77777777" w:rsidR="001A0981" w:rsidRDefault="00F23F95" w:rsidP="005D5568">
      <w:pPr>
        <w:rPr>
          <w:lang w:val="en-AU"/>
        </w:rPr>
      </w:pPr>
      <w:r>
        <w:rPr>
          <w:lang w:val="en-AU"/>
        </w:rPr>
        <w:t>All service providers must ask client</w:t>
      </w:r>
      <w:r w:rsidR="007856FF">
        <w:rPr>
          <w:lang w:val="en-AU"/>
        </w:rPr>
        <w:t>s</w:t>
      </w:r>
      <w:r>
        <w:rPr>
          <w:lang w:val="en-AU"/>
        </w:rPr>
        <w:t xml:space="preserve"> if they </w:t>
      </w:r>
      <w:r w:rsidR="00AE6FAF">
        <w:rPr>
          <w:lang w:val="en-AU"/>
        </w:rPr>
        <w:t xml:space="preserve">consent to </w:t>
      </w:r>
      <w:r w:rsidR="00027E02">
        <w:rPr>
          <w:lang w:val="en-AU"/>
        </w:rPr>
        <w:t>participate</w:t>
      </w:r>
      <w:r w:rsidR="00AE6FAF">
        <w:rPr>
          <w:lang w:val="en-AU"/>
        </w:rPr>
        <w:t xml:space="preserve"> </w:t>
      </w:r>
      <w:r w:rsidR="00027E02">
        <w:rPr>
          <w:lang w:val="en-AU"/>
        </w:rPr>
        <w:t>in follow up</w:t>
      </w:r>
      <w:r w:rsidR="00AE6FAF">
        <w:rPr>
          <w:lang w:val="en-AU"/>
        </w:rPr>
        <w:t xml:space="preserve"> </w:t>
      </w:r>
      <w:r w:rsidR="007053D6">
        <w:rPr>
          <w:lang w:val="en-AU"/>
        </w:rPr>
        <w:t>research</w:t>
      </w:r>
      <w:r w:rsidR="00027E02">
        <w:rPr>
          <w:lang w:val="en-AU"/>
        </w:rPr>
        <w:t>, surveys</w:t>
      </w:r>
      <w:r w:rsidR="001A0981">
        <w:rPr>
          <w:lang w:val="en-AU"/>
        </w:rPr>
        <w:t>,</w:t>
      </w:r>
      <w:r w:rsidR="00027E02">
        <w:rPr>
          <w:lang w:val="en-AU"/>
        </w:rPr>
        <w:t xml:space="preserve"> or evaluation</w:t>
      </w:r>
      <w:r w:rsidR="007053D6">
        <w:rPr>
          <w:lang w:val="en-AU"/>
        </w:rPr>
        <w:t xml:space="preserve"> – this is mandatory.</w:t>
      </w:r>
      <w:r w:rsidR="00BF427B">
        <w:rPr>
          <w:lang w:val="en-AU"/>
        </w:rPr>
        <w:t xml:space="preserve"> </w:t>
      </w:r>
    </w:p>
    <w:p w14:paraId="35639CF2" w14:textId="5E5F288F" w:rsidR="00357A3B" w:rsidRDefault="007053D6" w:rsidP="005D5568">
      <w:pPr>
        <w:rPr>
          <w:lang w:val="en-AU"/>
        </w:rPr>
      </w:pPr>
      <w:r>
        <w:rPr>
          <w:lang w:val="en-AU"/>
        </w:rPr>
        <w:t xml:space="preserve">Funding agencies and third parties (e.g. universities) are often interested in conducting research to better understand client needs and </w:t>
      </w:r>
      <w:r>
        <w:rPr>
          <w:lang w:val="en-AU"/>
        </w:rPr>
        <w:lastRenderedPageBreak/>
        <w:t xml:space="preserve">how to improve the service system. </w:t>
      </w:r>
      <w:r w:rsidR="001A0981">
        <w:rPr>
          <w:lang w:val="en-AU"/>
        </w:rPr>
        <w:t>This consent enables DSS to create a pool of potential participants for future research projects.</w:t>
      </w:r>
    </w:p>
    <w:p w14:paraId="4988BB97" w14:textId="03A3D004" w:rsidR="00AF799A" w:rsidRDefault="009E75B1" w:rsidP="005D5568">
      <w:pPr>
        <w:rPr>
          <w:lang w:val="en-AU"/>
        </w:rPr>
      </w:pPr>
      <w:r>
        <w:rPr>
          <w:lang w:val="en-AU"/>
        </w:rPr>
        <w:t xml:space="preserve">Researchers will </w:t>
      </w:r>
      <w:r w:rsidR="00357A3B">
        <w:rPr>
          <w:lang w:val="en-AU"/>
        </w:rPr>
        <w:t>contact</w:t>
      </w:r>
      <w:r>
        <w:rPr>
          <w:lang w:val="en-AU"/>
        </w:rPr>
        <w:t xml:space="preserve"> organisations before any research activities start.</w:t>
      </w:r>
      <w:r w:rsidR="00357A3B">
        <w:rPr>
          <w:lang w:val="en-AU"/>
        </w:rPr>
        <w:t xml:space="preserve"> Researchers will not be able to contact clients directly.</w:t>
      </w:r>
    </w:p>
    <w:p w14:paraId="71314512" w14:textId="018C9C35" w:rsidR="00CF7DC9" w:rsidRDefault="009B2D8A" w:rsidP="008111EC">
      <w:pPr>
        <w:rPr>
          <w:lang w:val="en-AU"/>
        </w:rPr>
      </w:pPr>
      <w:r>
        <w:rPr>
          <w:lang w:val="en-AU"/>
        </w:rPr>
        <w:t xml:space="preserve">If </w:t>
      </w:r>
      <w:r w:rsidR="00AF799A">
        <w:rPr>
          <w:lang w:val="en-AU"/>
        </w:rPr>
        <w:t>a client</w:t>
      </w:r>
      <w:r>
        <w:rPr>
          <w:lang w:val="en-AU"/>
        </w:rPr>
        <w:t xml:space="preserve"> consent</w:t>
      </w:r>
      <w:r w:rsidR="00AF799A">
        <w:rPr>
          <w:lang w:val="en-AU"/>
        </w:rPr>
        <w:t>s</w:t>
      </w:r>
      <w:r>
        <w:rPr>
          <w:lang w:val="en-AU"/>
        </w:rPr>
        <w:t xml:space="preserve"> to participate in follow up research, they are no</w:t>
      </w:r>
      <w:r w:rsidR="001A0981">
        <w:rPr>
          <w:lang w:val="en-AU"/>
        </w:rPr>
        <w:t>t</w:t>
      </w:r>
      <w:r>
        <w:rPr>
          <w:lang w:val="en-AU"/>
        </w:rPr>
        <w:t xml:space="preserve"> </w:t>
      </w:r>
      <w:r w:rsidR="001A0981">
        <w:rPr>
          <w:lang w:val="en-AU"/>
        </w:rPr>
        <w:t>o</w:t>
      </w:r>
      <w:r>
        <w:rPr>
          <w:lang w:val="en-AU"/>
        </w:rPr>
        <w:t>bligated to</w:t>
      </w:r>
      <w:r w:rsidR="00BF427B">
        <w:rPr>
          <w:lang w:val="en-AU"/>
        </w:rPr>
        <w:t xml:space="preserve"> participate in any project</w:t>
      </w:r>
      <w:r w:rsidR="001A0981">
        <w:rPr>
          <w:lang w:val="en-AU"/>
        </w:rPr>
        <w:t>s</w:t>
      </w:r>
      <w:r w:rsidR="00BF427B">
        <w:rPr>
          <w:lang w:val="en-AU"/>
        </w:rPr>
        <w:t>. They can change their mind about consent at any time.</w:t>
      </w:r>
      <w:r>
        <w:rPr>
          <w:lang w:val="en-AU"/>
        </w:rPr>
        <w:t xml:space="preserve"> </w:t>
      </w:r>
      <w:r w:rsidR="00CF7DC9">
        <w:rPr>
          <w:lang w:val="en-AU"/>
        </w:rPr>
        <w:br w:type="page"/>
      </w:r>
    </w:p>
    <w:p w14:paraId="0A33BE0D" w14:textId="77777777" w:rsidR="00AC1331" w:rsidRPr="007E3615" w:rsidRDefault="00AC1331" w:rsidP="00DC0D8A">
      <w:pPr>
        <w:pStyle w:val="H1"/>
        <w:numPr>
          <w:ilvl w:val="0"/>
          <w:numId w:val="28"/>
        </w:numPr>
        <w:ind w:left="357" w:hanging="357"/>
        <w:rPr>
          <w:sz w:val="32"/>
          <w:szCs w:val="32"/>
        </w:rPr>
      </w:pPr>
      <w:bookmarkStart w:id="1" w:name="Question2"/>
      <w:r w:rsidRPr="007E3615">
        <w:rPr>
          <w:sz w:val="32"/>
          <w:szCs w:val="32"/>
        </w:rPr>
        <w:lastRenderedPageBreak/>
        <w:t>What</w:t>
      </w:r>
      <w:r w:rsidR="00194B84" w:rsidRPr="007E3615">
        <w:rPr>
          <w:sz w:val="32"/>
          <w:szCs w:val="32"/>
        </w:rPr>
        <w:t xml:space="preserve"> </w:t>
      </w:r>
      <w:r w:rsidR="004C3820" w:rsidRPr="007E3615">
        <w:rPr>
          <w:sz w:val="32"/>
          <w:szCs w:val="32"/>
        </w:rPr>
        <w:t>happens</w:t>
      </w:r>
      <w:r w:rsidRPr="007E3615">
        <w:rPr>
          <w:sz w:val="32"/>
          <w:szCs w:val="32"/>
        </w:rPr>
        <w:t xml:space="preserve"> if a client does not give consent?</w:t>
      </w:r>
    </w:p>
    <w:bookmarkEnd w:id="1"/>
    <w:p w14:paraId="3745725F" w14:textId="77777777" w:rsidR="001A0981" w:rsidRDefault="00747E3E" w:rsidP="003E6499">
      <w:pPr>
        <w:spacing w:after="0"/>
        <w:rPr>
          <w:color w:val="000000" w:themeColor="text1"/>
          <w:lang w:val="en-AU"/>
        </w:rPr>
      </w:pPr>
      <w:r>
        <w:rPr>
          <w:color w:val="000000" w:themeColor="text1"/>
          <w:lang w:val="en-AU"/>
        </w:rPr>
        <w:t>The table below describe</w:t>
      </w:r>
      <w:r w:rsidR="001A0981">
        <w:rPr>
          <w:color w:val="000000" w:themeColor="text1"/>
          <w:lang w:val="en-AU"/>
        </w:rPr>
        <w:t>s</w:t>
      </w:r>
      <w:r>
        <w:rPr>
          <w:color w:val="000000" w:themeColor="text1"/>
          <w:lang w:val="en-AU"/>
        </w:rPr>
        <w:t xml:space="preserve"> what to do if a client does not give consent</w:t>
      </w:r>
      <w:r w:rsidR="001A0981">
        <w:rPr>
          <w:color w:val="000000" w:themeColor="text1"/>
          <w:lang w:val="en-AU"/>
        </w:rPr>
        <w:t>.</w:t>
      </w:r>
      <w:r w:rsidR="00DE66D6">
        <w:rPr>
          <w:color w:val="000000" w:themeColor="text1"/>
          <w:lang w:val="en-AU"/>
        </w:rPr>
        <w:t xml:space="preserve"> </w:t>
      </w:r>
    </w:p>
    <w:p w14:paraId="687AAA93" w14:textId="77BEA117" w:rsidR="001A0981" w:rsidRPr="003E6499" w:rsidRDefault="003E21A5" w:rsidP="003E6499">
      <w:pPr>
        <w:spacing w:after="0"/>
        <w:rPr>
          <w:color w:val="000000" w:themeColor="text1"/>
          <w:lang w:val="en-AU"/>
        </w:rPr>
      </w:pPr>
      <w:r>
        <w:rPr>
          <w:lang w:val="en-AU"/>
        </w:rPr>
        <w:br/>
      </w:r>
      <w:r w:rsidR="001A0981" w:rsidRPr="0007479C">
        <w:rPr>
          <w:lang w:val="en-AU"/>
        </w:rPr>
        <w:t>Table 1. What happens if a client does not give consent?</w:t>
      </w:r>
    </w:p>
    <w:tbl>
      <w:tblPr>
        <w:tblStyle w:val="TableGrid"/>
        <w:tblW w:w="0" w:type="auto"/>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2133"/>
        <w:gridCol w:w="3821"/>
        <w:gridCol w:w="3067"/>
      </w:tblGrid>
      <w:tr w:rsidR="0007479C" w14:paraId="3648D69A" w14:textId="77777777" w:rsidTr="00612A59">
        <w:trPr>
          <w:trHeight w:val="850"/>
        </w:trPr>
        <w:tc>
          <w:tcPr>
            <w:tcW w:w="2133" w:type="dxa"/>
          </w:tcPr>
          <w:p w14:paraId="7AAAAEB6" w14:textId="77777777" w:rsidR="0007479C" w:rsidRDefault="0007479C" w:rsidP="007D3263">
            <w:pPr>
              <w:spacing w:after="0"/>
              <w:rPr>
                <w:color w:val="002060"/>
                <w:lang w:val="en-AU"/>
              </w:rPr>
            </w:pPr>
          </w:p>
        </w:tc>
        <w:tc>
          <w:tcPr>
            <w:tcW w:w="3821" w:type="dxa"/>
            <w:vAlign w:val="center"/>
          </w:tcPr>
          <w:p w14:paraId="00FD822B" w14:textId="5D055617" w:rsidR="0007479C" w:rsidRPr="003E6499" w:rsidRDefault="0007479C" w:rsidP="0007479C">
            <w:pPr>
              <w:spacing w:after="0"/>
              <w:jc w:val="center"/>
              <w:rPr>
                <w:color w:val="002060"/>
                <w:lang w:val="en-AU"/>
              </w:rPr>
            </w:pPr>
            <w:r>
              <w:rPr>
                <w:color w:val="002060"/>
                <w:lang w:val="en-AU"/>
              </w:rPr>
              <w:t xml:space="preserve">Consent to </w:t>
            </w:r>
            <w:r w:rsidR="003E21A5">
              <w:rPr>
                <w:color w:val="002060"/>
                <w:lang w:val="en-AU"/>
              </w:rPr>
              <w:t xml:space="preserve">store </w:t>
            </w:r>
            <w:r w:rsidRPr="003E6499">
              <w:rPr>
                <w:color w:val="002060"/>
                <w:lang w:val="en-AU"/>
              </w:rPr>
              <w:t>personal information in the Data Exchange</w:t>
            </w:r>
          </w:p>
        </w:tc>
        <w:tc>
          <w:tcPr>
            <w:tcW w:w="3067" w:type="dxa"/>
            <w:vAlign w:val="center"/>
          </w:tcPr>
          <w:p w14:paraId="18775D73" w14:textId="2B3A6F56" w:rsidR="0007479C" w:rsidRPr="003E6499" w:rsidRDefault="0007479C" w:rsidP="0007479C">
            <w:pPr>
              <w:spacing w:after="0"/>
              <w:jc w:val="center"/>
              <w:rPr>
                <w:color w:val="002060"/>
                <w:lang w:val="en-AU"/>
              </w:rPr>
            </w:pPr>
            <w:r w:rsidRPr="003E6499">
              <w:rPr>
                <w:color w:val="002060"/>
                <w:lang w:val="en-AU"/>
              </w:rPr>
              <w:t>Consent to participate in follow-up research</w:t>
            </w:r>
            <w:r>
              <w:rPr>
                <w:color w:val="002060"/>
                <w:lang w:val="en-AU"/>
              </w:rPr>
              <w:t>, surveys</w:t>
            </w:r>
            <w:r w:rsidR="003E21A5">
              <w:rPr>
                <w:color w:val="002060"/>
                <w:lang w:val="en-AU"/>
              </w:rPr>
              <w:t>,</w:t>
            </w:r>
            <w:r>
              <w:rPr>
                <w:color w:val="002060"/>
                <w:lang w:val="en-AU"/>
              </w:rPr>
              <w:t xml:space="preserve"> and evaluation</w:t>
            </w:r>
          </w:p>
        </w:tc>
      </w:tr>
      <w:tr w:rsidR="0007479C" w14:paraId="38DC5EF9" w14:textId="77777777" w:rsidTr="00612A59">
        <w:trPr>
          <w:trHeight w:val="1361"/>
        </w:trPr>
        <w:tc>
          <w:tcPr>
            <w:tcW w:w="2133" w:type="dxa"/>
            <w:vAlign w:val="center"/>
          </w:tcPr>
          <w:p w14:paraId="235D9E69" w14:textId="1048EA5B" w:rsidR="00612A59" w:rsidRPr="00612A59" w:rsidRDefault="0007479C" w:rsidP="0007479C">
            <w:pPr>
              <w:spacing w:after="120"/>
              <w:rPr>
                <w:b/>
                <w:color w:val="002060"/>
                <w:lang w:val="en-AU"/>
              </w:rPr>
            </w:pPr>
            <w:r w:rsidRPr="00DE66D6">
              <w:rPr>
                <w:b/>
                <w:color w:val="002060"/>
                <w:lang w:val="en-AU"/>
              </w:rPr>
              <w:t>For service providers using the web-based portal</w:t>
            </w:r>
          </w:p>
        </w:tc>
        <w:tc>
          <w:tcPr>
            <w:tcW w:w="3821" w:type="dxa"/>
            <w:vAlign w:val="center"/>
          </w:tcPr>
          <w:p w14:paraId="5992F6D0" w14:textId="30C49CA1" w:rsidR="0007479C" w:rsidRDefault="0007479C" w:rsidP="007F38D3">
            <w:pPr>
              <w:spacing w:after="120"/>
              <w:rPr>
                <w:color w:val="000000" w:themeColor="text1"/>
                <w:lang w:val="en-AU"/>
              </w:rPr>
            </w:pPr>
            <w:r>
              <w:rPr>
                <w:color w:val="000000" w:themeColor="text1"/>
                <w:lang w:val="en-AU"/>
              </w:rPr>
              <w:t xml:space="preserve">Untick the ‘consent to store personal information’ box in the client’s record. The client’s name and street-level address will not be </w:t>
            </w:r>
            <w:r w:rsidRPr="003E21A5">
              <w:rPr>
                <w:bCs/>
                <w:color w:val="000000" w:themeColor="text1"/>
                <w:lang w:val="en-AU"/>
              </w:rPr>
              <w:t>stored</w:t>
            </w:r>
            <w:r>
              <w:rPr>
                <w:color w:val="000000" w:themeColor="text1"/>
                <w:lang w:val="en-AU"/>
              </w:rPr>
              <w:t xml:space="preserve"> in the Data Exchange.</w:t>
            </w:r>
          </w:p>
          <w:p w14:paraId="76136D24" w14:textId="6561A8EC" w:rsidR="0007479C" w:rsidRDefault="003E21A5" w:rsidP="007F38D3">
            <w:pPr>
              <w:spacing w:after="120"/>
              <w:rPr>
                <w:color w:val="000000" w:themeColor="text1"/>
                <w:lang w:val="en-AU"/>
              </w:rPr>
            </w:pPr>
            <w:r>
              <w:rPr>
                <w:color w:val="000000" w:themeColor="text1"/>
                <w:lang w:val="en-AU"/>
              </w:rPr>
              <w:t>Y</w:t>
            </w:r>
            <w:r w:rsidR="0007479C">
              <w:rPr>
                <w:color w:val="000000" w:themeColor="text1"/>
                <w:lang w:val="en-AU"/>
              </w:rPr>
              <w:t>ou must still enter this information in the client’</w:t>
            </w:r>
            <w:r w:rsidR="00844DFB">
              <w:rPr>
                <w:color w:val="000000" w:themeColor="text1"/>
                <w:lang w:val="en-AU"/>
              </w:rPr>
              <w:t>s record so a Statistical Linkage Key (SLK)</w:t>
            </w:r>
            <w:r w:rsidR="0007479C">
              <w:rPr>
                <w:color w:val="000000" w:themeColor="text1"/>
                <w:lang w:val="en-AU"/>
              </w:rPr>
              <w:t xml:space="preserve"> can be generated. </w:t>
            </w:r>
          </w:p>
          <w:p w14:paraId="624EE747" w14:textId="77777777" w:rsidR="0007479C" w:rsidRPr="00AC1331" w:rsidRDefault="0007479C" w:rsidP="007F38D3">
            <w:pPr>
              <w:spacing w:after="120"/>
              <w:rPr>
                <w:color w:val="000000" w:themeColor="text1"/>
                <w:lang w:val="en-AU"/>
              </w:rPr>
            </w:pPr>
            <w:r>
              <w:rPr>
                <w:color w:val="000000" w:themeColor="text1"/>
                <w:lang w:val="en-AU"/>
              </w:rPr>
              <w:t xml:space="preserve">You must keep a record of the client’s Client ID. </w:t>
            </w:r>
            <w:r>
              <w:rPr>
                <w:lang w:val="en-AU"/>
              </w:rPr>
              <w:t>This will enable you to update the client’s information as they continue to participate in your service (e.g. to add additional SCOREs).</w:t>
            </w:r>
          </w:p>
        </w:tc>
        <w:tc>
          <w:tcPr>
            <w:tcW w:w="3067" w:type="dxa"/>
          </w:tcPr>
          <w:p w14:paraId="080B6989" w14:textId="77777777" w:rsidR="0007479C" w:rsidRDefault="0007479C" w:rsidP="00050821">
            <w:pPr>
              <w:spacing w:after="0"/>
              <w:rPr>
                <w:color w:val="000000" w:themeColor="text1"/>
                <w:lang w:val="en-AU"/>
              </w:rPr>
            </w:pPr>
            <w:r>
              <w:rPr>
                <w:color w:val="000000" w:themeColor="text1"/>
                <w:lang w:val="en-AU"/>
              </w:rPr>
              <w:t>Untick the ‘consent to participate in follow-up research’ box in the client’s record.</w:t>
            </w:r>
          </w:p>
        </w:tc>
      </w:tr>
      <w:tr w:rsidR="0007479C" w14:paraId="4FE5DBC6" w14:textId="77777777" w:rsidTr="00601A49">
        <w:trPr>
          <w:trHeight w:val="3904"/>
        </w:trPr>
        <w:tc>
          <w:tcPr>
            <w:tcW w:w="2133" w:type="dxa"/>
            <w:vAlign w:val="center"/>
          </w:tcPr>
          <w:p w14:paraId="793444C1" w14:textId="77777777" w:rsidR="0007479C" w:rsidRDefault="0007479C" w:rsidP="0007479C">
            <w:pPr>
              <w:spacing w:after="0"/>
              <w:rPr>
                <w:color w:val="002060"/>
                <w:lang w:val="en-AU"/>
              </w:rPr>
            </w:pPr>
            <w:r w:rsidRPr="00DE66D6">
              <w:rPr>
                <w:b/>
                <w:color w:val="002060"/>
                <w:lang w:val="en-AU"/>
              </w:rPr>
              <w:t>For service providers conducting bulk uploads or system-to-system transfers</w:t>
            </w:r>
          </w:p>
        </w:tc>
        <w:tc>
          <w:tcPr>
            <w:tcW w:w="3821" w:type="dxa"/>
            <w:vAlign w:val="center"/>
          </w:tcPr>
          <w:p w14:paraId="653E9932" w14:textId="77777777" w:rsidR="0007479C" w:rsidRDefault="0007479C" w:rsidP="007F38D3">
            <w:pPr>
              <w:spacing w:after="120"/>
              <w:rPr>
                <w:color w:val="000000" w:themeColor="text1"/>
                <w:lang w:val="en-AU"/>
              </w:rPr>
            </w:pPr>
            <w:r>
              <w:rPr>
                <w:color w:val="000000" w:themeColor="text1"/>
                <w:lang w:val="en-AU"/>
              </w:rPr>
              <w:t>Use the ‘false’ value in your data file.</w:t>
            </w:r>
          </w:p>
          <w:p w14:paraId="2D880163" w14:textId="77777777" w:rsidR="0007479C" w:rsidRDefault="0007479C" w:rsidP="007F38D3">
            <w:pPr>
              <w:spacing w:after="120"/>
              <w:rPr>
                <w:color w:val="000000" w:themeColor="text1"/>
                <w:lang w:val="en-AU"/>
              </w:rPr>
            </w:pPr>
            <w:r>
              <w:rPr>
                <w:color w:val="000000" w:themeColor="text1"/>
                <w:lang w:val="en-AU"/>
              </w:rPr>
              <w:t>You must generate a SLK or configure your existing system to push SLKs across to the Data Exchange.</w:t>
            </w:r>
          </w:p>
          <w:p w14:paraId="55A9EDDC" w14:textId="77777777" w:rsidR="0007479C" w:rsidRDefault="0007479C" w:rsidP="007F38D3">
            <w:pPr>
              <w:spacing w:after="120"/>
              <w:rPr>
                <w:color w:val="000000" w:themeColor="text1"/>
                <w:lang w:val="en-AU"/>
              </w:rPr>
            </w:pPr>
            <w:r>
              <w:rPr>
                <w:color w:val="000000" w:themeColor="text1"/>
                <w:lang w:val="en-AU"/>
              </w:rPr>
              <w:t>You can remove a client’s personal information from your XML file or system before uploading it to the Data Exchange.</w:t>
            </w:r>
          </w:p>
        </w:tc>
        <w:tc>
          <w:tcPr>
            <w:tcW w:w="3067" w:type="dxa"/>
          </w:tcPr>
          <w:p w14:paraId="7316E1EB" w14:textId="77777777" w:rsidR="0007479C" w:rsidRDefault="0007479C" w:rsidP="00050821">
            <w:pPr>
              <w:spacing w:after="0"/>
              <w:rPr>
                <w:color w:val="000000" w:themeColor="text1"/>
                <w:lang w:val="en-AU"/>
              </w:rPr>
            </w:pPr>
            <w:r>
              <w:rPr>
                <w:color w:val="000000" w:themeColor="text1"/>
                <w:lang w:val="en-AU"/>
              </w:rPr>
              <w:t>Use the ‘false’ value in your data file.</w:t>
            </w:r>
          </w:p>
        </w:tc>
      </w:tr>
      <w:tr w:rsidR="0007479C" w14:paraId="1A94317C" w14:textId="77777777" w:rsidTr="00612A59">
        <w:trPr>
          <w:trHeight w:val="907"/>
        </w:trPr>
        <w:tc>
          <w:tcPr>
            <w:tcW w:w="9021" w:type="dxa"/>
            <w:gridSpan w:val="3"/>
            <w:vAlign w:val="center"/>
          </w:tcPr>
          <w:p w14:paraId="402D07E2" w14:textId="1A2C879D" w:rsidR="0007479C" w:rsidRPr="0007479C" w:rsidRDefault="0007479C" w:rsidP="0007479C">
            <w:pPr>
              <w:spacing w:after="0"/>
              <w:jc w:val="center"/>
              <w:rPr>
                <w:color w:val="000000" w:themeColor="text1"/>
                <w:lang w:val="en-AU"/>
              </w:rPr>
            </w:pPr>
            <w:r w:rsidRPr="0007479C">
              <w:rPr>
                <w:color w:val="000000" w:themeColor="text1"/>
                <w:lang w:val="en-AU"/>
              </w:rPr>
              <w:t>If a client changes their mind about consent</w:t>
            </w:r>
            <w:r w:rsidR="003E21A5">
              <w:rPr>
                <w:color w:val="000000" w:themeColor="text1"/>
                <w:lang w:val="en-AU"/>
              </w:rPr>
              <w:t>,</w:t>
            </w:r>
            <w:r w:rsidRPr="0007479C">
              <w:rPr>
                <w:color w:val="000000" w:themeColor="text1"/>
                <w:lang w:val="en-AU"/>
              </w:rPr>
              <w:t xml:space="preserve"> you need to update the client</w:t>
            </w:r>
            <w:r w:rsidR="003E21A5">
              <w:rPr>
                <w:color w:val="000000" w:themeColor="text1"/>
                <w:lang w:val="en-AU"/>
              </w:rPr>
              <w:t>’s</w:t>
            </w:r>
            <w:r w:rsidRPr="0007479C">
              <w:rPr>
                <w:color w:val="000000" w:themeColor="text1"/>
                <w:lang w:val="en-AU"/>
              </w:rPr>
              <w:t xml:space="preserve"> record in the Data Exchange.</w:t>
            </w:r>
          </w:p>
        </w:tc>
      </w:tr>
    </w:tbl>
    <w:p w14:paraId="423B275B" w14:textId="6763C38E" w:rsidR="00601A49" w:rsidRDefault="00601A49" w:rsidP="00612A59">
      <w:bookmarkStart w:id="2" w:name="Question3"/>
    </w:p>
    <w:p w14:paraId="79521126" w14:textId="4BC7864E" w:rsidR="00612A59" w:rsidRDefault="00612A59" w:rsidP="00612A59"/>
    <w:p w14:paraId="407843B7" w14:textId="77777777" w:rsidR="00612A59" w:rsidRDefault="00612A59" w:rsidP="00612A59"/>
    <w:p w14:paraId="7261A892" w14:textId="77777777" w:rsidR="00ED6ACE" w:rsidRPr="007E3615" w:rsidRDefault="004C3820" w:rsidP="00DC0D8A">
      <w:pPr>
        <w:pStyle w:val="H1"/>
        <w:numPr>
          <w:ilvl w:val="0"/>
          <w:numId w:val="28"/>
        </w:numPr>
        <w:ind w:left="357" w:hanging="357"/>
        <w:rPr>
          <w:sz w:val="32"/>
          <w:szCs w:val="32"/>
        </w:rPr>
      </w:pPr>
      <w:r w:rsidRPr="007E3615">
        <w:rPr>
          <w:sz w:val="32"/>
          <w:szCs w:val="32"/>
        </w:rPr>
        <w:t>What happens if a client will not give their details?</w:t>
      </w:r>
    </w:p>
    <w:bookmarkEnd w:id="2"/>
    <w:p w14:paraId="278CD310" w14:textId="77777777" w:rsidR="004C3820" w:rsidRDefault="00153609" w:rsidP="000652A7">
      <w:pPr>
        <w:rPr>
          <w:lang w:val="en-AU"/>
        </w:rPr>
      </w:pPr>
      <w:r w:rsidRPr="00153609">
        <w:rPr>
          <w:lang w:val="en-AU"/>
        </w:rPr>
        <w:t xml:space="preserve">If a </w:t>
      </w:r>
      <w:r>
        <w:rPr>
          <w:lang w:val="en-AU"/>
        </w:rPr>
        <w:t>client does not wish to disclose their ‘real name’, you can indicate that a pseudonym (a false name) is being used. Advise the client to continue using this pseudonym for the duration of the service.</w:t>
      </w:r>
    </w:p>
    <w:p w14:paraId="6089E78D" w14:textId="69A1C69E" w:rsidR="00153609" w:rsidRDefault="00153609" w:rsidP="000652A7">
      <w:pPr>
        <w:rPr>
          <w:lang w:val="en-AU"/>
        </w:rPr>
      </w:pPr>
      <w:r>
        <w:rPr>
          <w:lang w:val="en-AU"/>
        </w:rPr>
        <w:lastRenderedPageBreak/>
        <w:t xml:space="preserve">If a client does not know or does not wish to disclose their date of birth, </w:t>
      </w:r>
      <w:r w:rsidR="003E21A5">
        <w:rPr>
          <w:lang w:val="en-AU"/>
        </w:rPr>
        <w:t>you can record an estimate</w:t>
      </w:r>
      <w:r>
        <w:rPr>
          <w:lang w:val="en-AU"/>
        </w:rPr>
        <w:t xml:space="preserve">. </w:t>
      </w:r>
      <w:r w:rsidR="003E21A5">
        <w:rPr>
          <w:lang w:val="en-AU"/>
        </w:rPr>
        <w:t>This will just be a year of birth. It should be as close to the client’s age as possible.</w:t>
      </w:r>
    </w:p>
    <w:p w14:paraId="2584E4CA" w14:textId="3581FA1C" w:rsidR="00B44F54" w:rsidRDefault="00B44F54" w:rsidP="003A2B7C">
      <w:pPr>
        <w:spacing w:after="0"/>
        <w:rPr>
          <w:lang w:val="en-AU"/>
        </w:rPr>
      </w:pPr>
      <w:r>
        <w:rPr>
          <w:lang w:val="en-AU"/>
        </w:rPr>
        <w:t xml:space="preserve">It is </w:t>
      </w:r>
      <w:r w:rsidR="003E21A5">
        <w:rPr>
          <w:lang w:val="en-AU"/>
        </w:rPr>
        <w:t>very</w:t>
      </w:r>
      <w:r>
        <w:rPr>
          <w:lang w:val="en-AU"/>
        </w:rPr>
        <w:t xml:space="preserve"> important that organisations do </w:t>
      </w:r>
      <w:r w:rsidR="00844DFB" w:rsidRPr="00844DFB">
        <w:rPr>
          <w:lang w:val="en-AU"/>
        </w:rPr>
        <w:t>not</w:t>
      </w:r>
      <w:r>
        <w:rPr>
          <w:lang w:val="en-AU"/>
        </w:rPr>
        <w:t xml:space="preserve"> enter false client </w:t>
      </w:r>
      <w:r w:rsidR="00844DFB">
        <w:rPr>
          <w:lang w:val="en-AU"/>
        </w:rPr>
        <w:t xml:space="preserve">details into the Data Exchange. </w:t>
      </w:r>
      <w:r w:rsidR="003A2B7C">
        <w:rPr>
          <w:lang w:val="en-AU"/>
        </w:rPr>
        <w:t xml:space="preserve">The Data Exchange uses client details (name, date of birth and gender) to generate SLKs (see Question 10). </w:t>
      </w:r>
      <w:r w:rsidR="00844DFB">
        <w:rPr>
          <w:lang w:val="en-AU"/>
        </w:rPr>
        <w:t xml:space="preserve">False or incorrect client details will compromise our ability capture a client’s journey through the service system. </w:t>
      </w:r>
    </w:p>
    <w:p w14:paraId="7649E7AE" w14:textId="77777777" w:rsidR="00B459B9" w:rsidRDefault="00612A59" w:rsidP="000652A7">
      <w:pPr>
        <w:rPr>
          <w:b/>
          <w:color w:val="002060"/>
          <w:sz w:val="28"/>
          <w:szCs w:val="28"/>
          <w:lang w:val="en-AU"/>
        </w:rPr>
      </w:pPr>
      <w:r>
        <w:rPr>
          <w:b/>
          <w:color w:val="002060"/>
          <w:sz w:val="28"/>
          <w:szCs w:val="28"/>
          <w:lang w:val="en-AU"/>
        </w:rPr>
        <w:pict w14:anchorId="5C24605B">
          <v:rect id="_x0000_i1027" style="width:0;height:1.5pt" o:hralign="center" o:bullet="t" o:hrstd="t" o:hr="t" fillcolor="#a0a0a0" stroked="f"/>
        </w:pict>
      </w:r>
    </w:p>
    <w:p w14:paraId="0C49F74C" w14:textId="77777777" w:rsidR="00357A3B" w:rsidRDefault="00357A3B" w:rsidP="00357A3B">
      <w:pPr>
        <w:pStyle w:val="H1"/>
        <w:numPr>
          <w:ilvl w:val="0"/>
          <w:numId w:val="28"/>
        </w:numPr>
        <w:ind w:left="357" w:hanging="357"/>
        <w:rPr>
          <w:sz w:val="32"/>
          <w:szCs w:val="32"/>
        </w:rPr>
      </w:pPr>
      <w:bookmarkStart w:id="3" w:name="Question6"/>
      <w:r>
        <w:rPr>
          <w:sz w:val="32"/>
          <w:szCs w:val="32"/>
        </w:rPr>
        <w:t>Can</w:t>
      </w:r>
      <w:r w:rsidRPr="0098595C">
        <w:rPr>
          <w:sz w:val="32"/>
          <w:szCs w:val="32"/>
        </w:rPr>
        <w:t xml:space="preserve"> children or someone with compr</w:t>
      </w:r>
      <w:r>
        <w:rPr>
          <w:sz w:val="32"/>
          <w:szCs w:val="32"/>
        </w:rPr>
        <w:t>om</w:t>
      </w:r>
      <w:r w:rsidRPr="0098595C">
        <w:rPr>
          <w:sz w:val="32"/>
          <w:szCs w:val="32"/>
        </w:rPr>
        <w:t>ised capacity</w:t>
      </w:r>
      <w:r>
        <w:rPr>
          <w:sz w:val="32"/>
          <w:szCs w:val="32"/>
        </w:rPr>
        <w:t xml:space="preserve"> give consent</w:t>
      </w:r>
      <w:r w:rsidRPr="0098595C">
        <w:rPr>
          <w:sz w:val="32"/>
          <w:szCs w:val="32"/>
        </w:rPr>
        <w:t>?</w:t>
      </w:r>
    </w:p>
    <w:bookmarkEnd w:id="3"/>
    <w:p w14:paraId="0CA0E678" w14:textId="77777777" w:rsidR="00357A3B" w:rsidRDefault="00357A3B" w:rsidP="00357A3B">
      <w:pPr>
        <w:rPr>
          <w:lang w:val="en-AU"/>
        </w:rPr>
      </w:pPr>
      <w:r>
        <w:rPr>
          <w:lang w:val="en-AU"/>
        </w:rPr>
        <w:t>For a child, it is best practice to seek consent from their parent or guardian.</w:t>
      </w:r>
    </w:p>
    <w:p w14:paraId="13B6447E" w14:textId="06D868A8" w:rsidR="00357A3B" w:rsidRDefault="00357A3B" w:rsidP="00357A3B">
      <w:pPr>
        <w:rPr>
          <w:lang w:val="en-AU"/>
        </w:rPr>
      </w:pPr>
      <w:r>
        <w:rPr>
          <w:lang w:val="en-AU"/>
        </w:rPr>
        <w:t>H</w:t>
      </w:r>
      <w:r w:rsidR="001A768F">
        <w:rPr>
          <w:lang w:val="en-AU"/>
        </w:rPr>
        <w:t>owever, i</w:t>
      </w:r>
      <w:r>
        <w:rPr>
          <w:lang w:val="en-AU"/>
        </w:rPr>
        <w:t>f you determine that a child or young pe</w:t>
      </w:r>
      <w:r w:rsidR="003E21A5">
        <w:rPr>
          <w:lang w:val="en-AU"/>
        </w:rPr>
        <w:t xml:space="preserve">rson </w:t>
      </w:r>
      <w:r>
        <w:rPr>
          <w:lang w:val="en-AU"/>
        </w:rPr>
        <w:t xml:space="preserve">fully understands what they are consenting to, you </w:t>
      </w:r>
      <w:r w:rsidR="001A768F">
        <w:rPr>
          <w:lang w:val="en-AU"/>
        </w:rPr>
        <w:t>can get their consent</w:t>
      </w:r>
      <w:r>
        <w:rPr>
          <w:lang w:val="en-AU"/>
        </w:rPr>
        <w:t xml:space="preserve"> directly.</w:t>
      </w:r>
    </w:p>
    <w:p w14:paraId="526E4068" w14:textId="19DBD876" w:rsidR="00357A3B" w:rsidRDefault="00357A3B" w:rsidP="00357A3B">
      <w:pPr>
        <w:rPr>
          <w:lang w:val="en-AU"/>
        </w:rPr>
      </w:pPr>
      <w:r>
        <w:rPr>
          <w:lang w:val="en-AU"/>
        </w:rPr>
        <w:t>DSS propose a general rule</w:t>
      </w:r>
      <w:r w:rsidR="001A768F">
        <w:rPr>
          <w:lang w:val="en-AU"/>
        </w:rPr>
        <w:t>:</w:t>
      </w:r>
      <w:r>
        <w:rPr>
          <w:lang w:val="en-AU"/>
        </w:rPr>
        <w:t xml:space="preserve"> a young person aged 15 and over has the capacity to consent, unless there is something to suggest otherwise. </w:t>
      </w:r>
    </w:p>
    <w:p w14:paraId="6AA9BD2E" w14:textId="2FC84ECB" w:rsidR="00357A3B" w:rsidRDefault="00357A3B" w:rsidP="00357A3B">
      <w:pPr>
        <w:rPr>
          <w:lang w:val="en-AU"/>
        </w:rPr>
      </w:pPr>
      <w:r>
        <w:rPr>
          <w:lang w:val="en-AU"/>
        </w:rPr>
        <w:t>You may have clients whose capacity to consent is compromised (e.g. people with disabilities). You may have to implement special practices</w:t>
      </w:r>
      <w:r w:rsidR="001A768F">
        <w:rPr>
          <w:lang w:val="en-AU"/>
        </w:rPr>
        <w:t>.</w:t>
      </w:r>
      <w:r>
        <w:rPr>
          <w:lang w:val="en-AU"/>
        </w:rPr>
        <w:t xml:space="preserve"> </w:t>
      </w:r>
      <w:r w:rsidR="001A768F">
        <w:rPr>
          <w:lang w:val="en-AU"/>
        </w:rPr>
        <w:t>You</w:t>
      </w:r>
      <w:r>
        <w:rPr>
          <w:lang w:val="en-AU"/>
        </w:rPr>
        <w:t xml:space="preserve"> should use your experience working in the sector to determine the best way to obtain consent. For example, a guardian may be able to provide consent on behalf of the client.</w:t>
      </w:r>
    </w:p>
    <w:p w14:paraId="0CCB8107" w14:textId="77777777" w:rsidR="00357A3B" w:rsidRDefault="00612A59" w:rsidP="00357A3B">
      <w:pPr>
        <w:rPr>
          <w:lang w:val="en-AU"/>
        </w:rPr>
      </w:pPr>
      <w:r>
        <w:rPr>
          <w:b/>
          <w:color w:val="002060"/>
          <w:sz w:val="28"/>
          <w:szCs w:val="28"/>
          <w:lang w:val="en-AU"/>
        </w:rPr>
        <w:pict w14:anchorId="7A916EE1">
          <v:rect id="_x0000_i1028" style="width:0;height:1.5pt" o:hralign="center" o:bullet="t" o:hrstd="t" o:hr="t" fillcolor="#a0a0a0" stroked="f"/>
        </w:pict>
      </w:r>
    </w:p>
    <w:p w14:paraId="7621B1EC" w14:textId="77777777" w:rsidR="00357A3B" w:rsidRDefault="00357A3B" w:rsidP="00357A3B">
      <w:pPr>
        <w:pStyle w:val="H1"/>
        <w:numPr>
          <w:ilvl w:val="0"/>
          <w:numId w:val="28"/>
        </w:numPr>
        <w:ind w:left="357" w:hanging="357"/>
        <w:rPr>
          <w:sz w:val="32"/>
          <w:szCs w:val="32"/>
        </w:rPr>
      </w:pPr>
      <w:bookmarkStart w:id="4" w:name="Question4"/>
      <w:r>
        <w:rPr>
          <w:sz w:val="32"/>
          <w:szCs w:val="32"/>
        </w:rPr>
        <w:t>How often do I need to get consent?</w:t>
      </w:r>
    </w:p>
    <w:p w14:paraId="05B39669" w14:textId="77777777" w:rsidR="00357A3B" w:rsidRDefault="00357A3B" w:rsidP="00357A3B">
      <w:pPr>
        <w:rPr>
          <w:lang w:val="en-AU"/>
        </w:rPr>
      </w:pPr>
      <w:r w:rsidRPr="00924397">
        <w:rPr>
          <w:lang w:val="en-AU"/>
        </w:rPr>
        <w:t xml:space="preserve">You only need to </w:t>
      </w:r>
      <w:r>
        <w:rPr>
          <w:lang w:val="en-AU"/>
        </w:rPr>
        <w:t>obtain</w:t>
      </w:r>
      <w:r w:rsidRPr="00924397">
        <w:rPr>
          <w:lang w:val="en-AU"/>
        </w:rPr>
        <w:t xml:space="preserve"> consent once. </w:t>
      </w:r>
    </w:p>
    <w:p w14:paraId="559DEE5E" w14:textId="450E39A1" w:rsidR="00357A3B" w:rsidRDefault="00357A3B" w:rsidP="00357A3B">
      <w:pPr>
        <w:rPr>
          <w:lang w:val="en-AU"/>
        </w:rPr>
      </w:pPr>
      <w:r>
        <w:rPr>
          <w:lang w:val="en-AU"/>
        </w:rPr>
        <w:t>However, if a client attends your service over a long period of time</w:t>
      </w:r>
      <w:r w:rsidR="001A768F">
        <w:rPr>
          <w:lang w:val="en-AU"/>
        </w:rPr>
        <w:t xml:space="preserve"> you should</w:t>
      </w:r>
      <w:r>
        <w:rPr>
          <w:lang w:val="en-AU"/>
        </w:rPr>
        <w:t xml:space="preserve"> check in with the client to ensure they have not changed their mind about consent.</w:t>
      </w:r>
    </w:p>
    <w:p w14:paraId="26CE7D24" w14:textId="77777777" w:rsidR="00611551" w:rsidRDefault="00357A3B" w:rsidP="00357A3B">
      <w:pPr>
        <w:rPr>
          <w:lang w:val="en-AU"/>
        </w:rPr>
      </w:pPr>
      <w:r>
        <w:rPr>
          <w:lang w:val="en-AU"/>
        </w:rPr>
        <w:t xml:space="preserve">If an individual client participates in multiple activities/services you provide, your organisation only needs to obtain consent once. This is because the client only has one Client ID with their information stored in the Data Exchange. </w:t>
      </w:r>
    </w:p>
    <w:p w14:paraId="5AA3A49E" w14:textId="47699943" w:rsidR="00357A3B" w:rsidRDefault="00357A3B" w:rsidP="00357A3B">
      <w:pPr>
        <w:rPr>
          <w:lang w:val="en-AU"/>
        </w:rPr>
      </w:pPr>
      <w:r>
        <w:rPr>
          <w:lang w:val="en-AU"/>
        </w:rPr>
        <w:lastRenderedPageBreak/>
        <w:t xml:space="preserve">However, </w:t>
      </w:r>
      <w:r w:rsidR="001A768F">
        <w:rPr>
          <w:lang w:val="en-AU"/>
        </w:rPr>
        <w:t>you should</w:t>
      </w:r>
      <w:r>
        <w:rPr>
          <w:lang w:val="en-AU"/>
        </w:rPr>
        <w:t xml:space="preserve"> check in with the client when they participate in a new activity/program to ensure they have not changed their mind about consent. </w:t>
      </w:r>
    </w:p>
    <w:p w14:paraId="52EF39BC" w14:textId="162B9936" w:rsidR="00357A3B" w:rsidRDefault="00357A3B" w:rsidP="00357A3B">
      <w:pPr>
        <w:spacing w:after="0"/>
        <w:rPr>
          <w:lang w:val="en-AU"/>
        </w:rPr>
      </w:pPr>
      <w:r>
        <w:rPr>
          <w:lang w:val="en-AU"/>
        </w:rPr>
        <w:t xml:space="preserve">A client cannot provide consent for one activity and withdraw consent for another. If a client withdraws consent for any activity, you should update their </w:t>
      </w:r>
      <w:r w:rsidR="001A768F">
        <w:rPr>
          <w:lang w:val="en-AU"/>
        </w:rPr>
        <w:t>record</w:t>
      </w:r>
      <w:r>
        <w:rPr>
          <w:lang w:val="en-AU"/>
        </w:rPr>
        <w:t xml:space="preserve"> in the Data Exchange to reflect this. If this happens, please talk to your client about the Data Exchange and </w:t>
      </w:r>
      <w:r w:rsidR="00A65514">
        <w:rPr>
          <w:lang w:val="en-AU"/>
        </w:rPr>
        <w:t>consent to ensure they understand what they are consenting to.</w:t>
      </w:r>
    </w:p>
    <w:p w14:paraId="3E86B032" w14:textId="77777777" w:rsidR="00357A3B" w:rsidRDefault="00612A59" w:rsidP="00A65514">
      <w:pPr>
        <w:spacing w:after="0"/>
        <w:rPr>
          <w:b/>
          <w:color w:val="002060"/>
          <w:sz w:val="28"/>
          <w:szCs w:val="28"/>
          <w:lang w:val="en-AU"/>
        </w:rPr>
      </w:pPr>
      <w:r>
        <w:rPr>
          <w:b/>
          <w:color w:val="002060"/>
          <w:sz w:val="28"/>
          <w:szCs w:val="28"/>
          <w:lang w:val="en-AU"/>
        </w:rPr>
        <w:pict w14:anchorId="38579630">
          <v:rect id="_x0000_i1029" style="width:0;height:1.5pt" o:hralign="center" o:bullet="t" o:hrstd="t" o:hr="t" fillcolor="#a0a0a0" stroked="f"/>
        </w:pict>
      </w:r>
    </w:p>
    <w:p w14:paraId="50225245" w14:textId="77777777" w:rsidR="00A65514" w:rsidRPr="00357A3B" w:rsidRDefault="00A65514" w:rsidP="00A65514">
      <w:pPr>
        <w:spacing w:after="0"/>
        <w:rPr>
          <w:lang w:val="en-AU"/>
        </w:rPr>
      </w:pPr>
    </w:p>
    <w:p w14:paraId="4FBAEE51" w14:textId="77777777" w:rsidR="007008EF" w:rsidRPr="007E3615" w:rsidRDefault="007008EF" w:rsidP="00DC0D8A">
      <w:pPr>
        <w:pStyle w:val="H1"/>
        <w:numPr>
          <w:ilvl w:val="0"/>
          <w:numId w:val="28"/>
        </w:numPr>
        <w:ind w:left="357" w:hanging="357"/>
        <w:rPr>
          <w:sz w:val="32"/>
          <w:szCs w:val="32"/>
        </w:rPr>
      </w:pPr>
      <w:r w:rsidRPr="007E3615">
        <w:rPr>
          <w:sz w:val="32"/>
          <w:szCs w:val="32"/>
        </w:rPr>
        <w:t xml:space="preserve">What </w:t>
      </w:r>
      <w:r w:rsidR="000C6498" w:rsidRPr="007E3615">
        <w:rPr>
          <w:sz w:val="32"/>
          <w:szCs w:val="32"/>
        </w:rPr>
        <w:t>do I need to tell my clients about the Data Exchange?</w:t>
      </w:r>
    </w:p>
    <w:bookmarkEnd w:id="4"/>
    <w:p w14:paraId="51557DAE" w14:textId="45A2D964" w:rsidR="00575BE6" w:rsidRDefault="00A65514" w:rsidP="000C6498">
      <w:pPr>
        <w:rPr>
          <w:lang w:val="en-AU"/>
        </w:rPr>
      </w:pPr>
      <w:r>
        <w:rPr>
          <w:lang w:val="en-AU"/>
        </w:rPr>
        <w:t>All</w:t>
      </w:r>
      <w:r w:rsidR="000C6498">
        <w:rPr>
          <w:lang w:val="en-AU"/>
        </w:rPr>
        <w:t xml:space="preserve"> organisation</w:t>
      </w:r>
      <w:r>
        <w:rPr>
          <w:lang w:val="en-AU"/>
        </w:rPr>
        <w:t>s who</w:t>
      </w:r>
      <w:r w:rsidR="000C6498">
        <w:rPr>
          <w:lang w:val="en-AU"/>
        </w:rPr>
        <w:t xml:space="preserve"> </w:t>
      </w:r>
      <w:r>
        <w:rPr>
          <w:lang w:val="en-AU"/>
        </w:rPr>
        <w:t>upload or enter</w:t>
      </w:r>
      <w:r w:rsidR="000C6498">
        <w:rPr>
          <w:lang w:val="en-AU"/>
        </w:rPr>
        <w:t xml:space="preserve"> </w:t>
      </w:r>
      <w:r w:rsidR="00197304">
        <w:rPr>
          <w:lang w:val="en-AU"/>
        </w:rPr>
        <w:t xml:space="preserve">client’s </w:t>
      </w:r>
      <w:r w:rsidR="000C6498">
        <w:rPr>
          <w:lang w:val="en-AU"/>
        </w:rPr>
        <w:t>personal information</w:t>
      </w:r>
      <w:r w:rsidR="00D04405">
        <w:rPr>
          <w:lang w:val="en-AU"/>
        </w:rPr>
        <w:t xml:space="preserve"> in the Data Exchange</w:t>
      </w:r>
      <w:r w:rsidR="00197304">
        <w:rPr>
          <w:lang w:val="en-AU"/>
        </w:rPr>
        <w:t xml:space="preserve"> </w:t>
      </w:r>
      <w:r w:rsidR="00575BE6">
        <w:rPr>
          <w:lang w:val="en-AU"/>
        </w:rPr>
        <w:t>must adhere to</w:t>
      </w:r>
      <w:r w:rsidR="00C162F4">
        <w:rPr>
          <w:lang w:val="en-AU"/>
        </w:rPr>
        <w:t xml:space="preserve"> </w:t>
      </w:r>
      <w:r w:rsidR="00A30231">
        <w:rPr>
          <w:lang w:val="en-AU"/>
        </w:rPr>
        <w:t xml:space="preserve">the </w:t>
      </w:r>
      <w:r w:rsidR="00C162F4">
        <w:rPr>
          <w:lang w:val="en-AU"/>
        </w:rPr>
        <w:t xml:space="preserve">notification and consent requirements in the </w:t>
      </w:r>
      <w:hyperlink r:id="rId12" w:history="1">
        <w:r w:rsidR="00C162F4" w:rsidRPr="00C162F4">
          <w:rPr>
            <w:rStyle w:val="Hyperlink"/>
            <w:lang w:val="en-AU"/>
          </w:rPr>
          <w:t>Data Exchange Protocols</w:t>
        </w:r>
      </w:hyperlink>
      <w:r w:rsidR="00C162F4">
        <w:rPr>
          <w:lang w:val="en-AU"/>
        </w:rPr>
        <w:t xml:space="preserve"> (see Section 4.2).</w:t>
      </w:r>
    </w:p>
    <w:p w14:paraId="57C35766" w14:textId="77777777" w:rsidR="00A65514" w:rsidRPr="00A65514" w:rsidRDefault="00A65514" w:rsidP="00A65514">
      <w:pPr>
        <w:rPr>
          <w:lang w:val="en-AU"/>
        </w:rPr>
      </w:pPr>
      <w:r>
        <w:rPr>
          <w:lang w:val="en-AU"/>
        </w:rPr>
        <w:t xml:space="preserve">This means you must </w:t>
      </w:r>
      <w:r w:rsidRPr="00A65514">
        <w:rPr>
          <w:lang w:val="en-AU"/>
        </w:rPr>
        <w:t xml:space="preserve">include the </w:t>
      </w:r>
      <w:r w:rsidRPr="00D75489">
        <w:rPr>
          <w:b/>
          <w:lang w:val="en-AU"/>
        </w:rPr>
        <w:t>DSS standard notification on privacy</w:t>
      </w:r>
      <w:r w:rsidRPr="00A65514">
        <w:rPr>
          <w:lang w:val="en-AU"/>
        </w:rPr>
        <w:t xml:space="preserve"> on your registration/intake forms. This notification is in Section 4.2.1 of the Data Exchange Protocols (pg. 12). This notification ensure</w:t>
      </w:r>
      <w:r w:rsidR="00D75489">
        <w:rPr>
          <w:lang w:val="en-AU"/>
        </w:rPr>
        <w:t>s</w:t>
      </w:r>
      <w:r w:rsidRPr="00A65514">
        <w:rPr>
          <w:lang w:val="en-AU"/>
        </w:rPr>
        <w:t xml:space="preserve"> DSS complies with its obligations under the Privacy Act and Australian Privacy Principles.</w:t>
      </w:r>
    </w:p>
    <w:p w14:paraId="7BFCC010" w14:textId="28EC2649" w:rsidR="00575BE6" w:rsidRDefault="00575BE6" w:rsidP="00575BE6">
      <w:pPr>
        <w:rPr>
          <w:lang w:val="en-AU"/>
        </w:rPr>
      </w:pPr>
      <w:r>
        <w:rPr>
          <w:lang w:val="en-AU"/>
        </w:rPr>
        <w:t xml:space="preserve">You </w:t>
      </w:r>
      <w:r w:rsidR="001A768F">
        <w:rPr>
          <w:lang w:val="en-AU"/>
        </w:rPr>
        <w:t>need</w:t>
      </w:r>
      <w:r>
        <w:rPr>
          <w:lang w:val="en-AU"/>
        </w:rPr>
        <w:t xml:space="preserve"> to provide clients with this notification before their personal information is </w:t>
      </w:r>
      <w:r w:rsidR="00EB06F8">
        <w:rPr>
          <w:lang w:val="en-AU"/>
        </w:rPr>
        <w:t>stored</w:t>
      </w:r>
      <w:r>
        <w:rPr>
          <w:lang w:val="en-AU"/>
        </w:rPr>
        <w:t xml:space="preserve"> in the Data Exchange or as soon as </w:t>
      </w:r>
      <w:r w:rsidR="00D6484A">
        <w:rPr>
          <w:lang w:val="en-AU"/>
        </w:rPr>
        <w:t xml:space="preserve">possible </w:t>
      </w:r>
      <w:r>
        <w:rPr>
          <w:lang w:val="en-AU"/>
        </w:rPr>
        <w:t>after</w:t>
      </w:r>
      <w:r w:rsidR="00782F71">
        <w:rPr>
          <w:lang w:val="en-AU"/>
        </w:rPr>
        <w:t>.</w:t>
      </w:r>
      <w:r>
        <w:rPr>
          <w:lang w:val="en-AU"/>
        </w:rPr>
        <w:t xml:space="preserve"> </w:t>
      </w:r>
    </w:p>
    <w:p w14:paraId="2A61281D" w14:textId="3975BD89" w:rsidR="00D75489" w:rsidRDefault="00EB06F8" w:rsidP="000C6498">
      <w:pPr>
        <w:rPr>
          <w:lang w:val="en-AU"/>
        </w:rPr>
      </w:pPr>
      <w:r>
        <w:rPr>
          <w:lang w:val="en-AU"/>
        </w:rPr>
        <w:t>Y</w:t>
      </w:r>
      <w:r w:rsidR="00782F71">
        <w:rPr>
          <w:lang w:val="en-AU"/>
        </w:rPr>
        <w:t xml:space="preserve">ou may </w:t>
      </w:r>
      <w:r w:rsidR="00DD1AB7">
        <w:rPr>
          <w:lang w:val="en-AU"/>
        </w:rPr>
        <w:t>design and use your own</w:t>
      </w:r>
      <w:r>
        <w:rPr>
          <w:lang w:val="en-AU"/>
        </w:rPr>
        <w:t xml:space="preserve"> standard notification on privacy</w:t>
      </w:r>
      <w:r w:rsidR="00DF093F">
        <w:rPr>
          <w:lang w:val="en-AU"/>
        </w:rPr>
        <w:t>. However</w:t>
      </w:r>
      <w:r w:rsidR="00782F71">
        <w:rPr>
          <w:lang w:val="en-AU"/>
        </w:rPr>
        <w:t xml:space="preserve">, </w:t>
      </w:r>
      <w:r>
        <w:rPr>
          <w:lang w:val="en-AU"/>
        </w:rPr>
        <w:t>it needs to include</w:t>
      </w:r>
      <w:r w:rsidR="00782F71">
        <w:rPr>
          <w:lang w:val="en-AU"/>
        </w:rPr>
        <w:t xml:space="preserve"> </w:t>
      </w:r>
      <w:r w:rsidR="00DD1AB7">
        <w:rPr>
          <w:lang w:val="en-AU"/>
        </w:rPr>
        <w:t>key information about the Data Exchange and its privacy principles</w:t>
      </w:r>
      <w:r w:rsidR="00DF093F">
        <w:rPr>
          <w:lang w:val="en-AU"/>
        </w:rPr>
        <w:t xml:space="preserve"> – as outlined in the </w:t>
      </w:r>
      <w:hyperlink r:id="rId13" w:history="1">
        <w:r w:rsidR="00DF093F" w:rsidRPr="00DF093F">
          <w:rPr>
            <w:rStyle w:val="Hyperlink"/>
            <w:lang w:val="en-AU"/>
          </w:rPr>
          <w:t>Australian Privacy Principles 5.2</w:t>
        </w:r>
      </w:hyperlink>
      <w:r w:rsidR="00DF093F">
        <w:rPr>
          <w:lang w:val="en-AU"/>
        </w:rPr>
        <w:t>.</w:t>
      </w:r>
    </w:p>
    <w:p w14:paraId="6C4CB594" w14:textId="77777777" w:rsidR="00BC6438" w:rsidRDefault="00DD1AB7" w:rsidP="000C6498">
      <w:pPr>
        <w:rPr>
          <w:lang w:val="en-AU"/>
        </w:rPr>
      </w:pPr>
      <w:r>
        <w:rPr>
          <w:lang w:val="en-AU"/>
        </w:rPr>
        <w:t>Section 4.2.2 of the Data Exchange Protocols (pg. 12-13)</w:t>
      </w:r>
      <w:r w:rsidR="006F2E00">
        <w:rPr>
          <w:lang w:val="en-AU"/>
        </w:rPr>
        <w:t xml:space="preserve"> includes a list of the information you must include. Please review this </w:t>
      </w:r>
      <w:r w:rsidR="00D75489">
        <w:rPr>
          <w:lang w:val="en-AU"/>
        </w:rPr>
        <w:t>list</w:t>
      </w:r>
      <w:r w:rsidR="006F2E00">
        <w:rPr>
          <w:lang w:val="en-AU"/>
        </w:rPr>
        <w:t xml:space="preserve"> before drafting your own notification.</w:t>
      </w:r>
    </w:p>
    <w:tbl>
      <w:tblPr>
        <w:tblStyle w:val="TableGrid"/>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9587"/>
      </w:tblGrid>
      <w:tr w:rsidR="00BC6438" w14:paraId="1A4C133E" w14:textId="77777777" w:rsidTr="009D78A8">
        <w:trPr>
          <w:trHeight w:val="1134"/>
        </w:trPr>
        <w:tc>
          <w:tcPr>
            <w:tcW w:w="10077" w:type="dxa"/>
            <w:tcBorders>
              <w:top w:val="single" w:sz="18" w:space="0" w:color="002060"/>
              <w:left w:val="single" w:sz="18" w:space="0" w:color="002060"/>
              <w:bottom w:val="single" w:sz="18" w:space="0" w:color="002060"/>
              <w:right w:val="single" w:sz="18" w:space="0" w:color="002060"/>
            </w:tcBorders>
            <w:shd w:val="clear" w:color="auto" w:fill="D5DCE4" w:themeFill="text2" w:themeFillTint="33"/>
            <w:vAlign w:val="center"/>
          </w:tcPr>
          <w:p w14:paraId="55DECED3" w14:textId="215B9CAD" w:rsidR="00717726" w:rsidRPr="00D04405" w:rsidRDefault="00EB06F8" w:rsidP="00D04405">
            <w:pPr>
              <w:spacing w:before="120" w:after="120"/>
              <w:jc w:val="center"/>
              <w:rPr>
                <w:color w:val="002060"/>
                <w:lang w:val="en-AU"/>
              </w:rPr>
            </w:pPr>
            <w:r>
              <w:rPr>
                <w:color w:val="002060"/>
                <w:lang w:val="en-AU"/>
              </w:rPr>
              <w:t>You can use this</w:t>
            </w:r>
            <w:r w:rsidR="00BC6438" w:rsidRPr="00D04405">
              <w:rPr>
                <w:color w:val="002060"/>
                <w:lang w:val="en-AU"/>
              </w:rPr>
              <w:t xml:space="preserve"> information sheet to clients about the Data Exchange, privacy</w:t>
            </w:r>
            <w:r>
              <w:rPr>
                <w:color w:val="002060"/>
                <w:lang w:val="en-AU"/>
              </w:rPr>
              <w:t>,</w:t>
            </w:r>
            <w:r w:rsidR="00BC6438" w:rsidRPr="00D04405">
              <w:rPr>
                <w:color w:val="002060"/>
                <w:lang w:val="en-AU"/>
              </w:rPr>
              <w:t xml:space="preserve"> and consent. </w:t>
            </w:r>
          </w:p>
          <w:p w14:paraId="5FB14965" w14:textId="77777777" w:rsidR="00717726" w:rsidRPr="00D04405" w:rsidRDefault="00717726" w:rsidP="00D04405">
            <w:pPr>
              <w:spacing w:before="120" w:after="120"/>
              <w:jc w:val="center"/>
              <w:rPr>
                <w:color w:val="002060"/>
                <w:lang w:val="en-AU"/>
              </w:rPr>
            </w:pPr>
            <w:r w:rsidRPr="00D04405">
              <w:rPr>
                <w:rStyle w:val="Hyperlink"/>
              </w:rPr>
              <w:t>What is the Data Exchange and how will my information be used?</w:t>
            </w:r>
          </w:p>
          <w:p w14:paraId="2F59923E" w14:textId="77777777" w:rsidR="00BC6438" w:rsidRPr="003A288A" w:rsidRDefault="00BC6438" w:rsidP="00D04405">
            <w:pPr>
              <w:spacing w:before="120" w:after="120"/>
              <w:jc w:val="center"/>
              <w:rPr>
                <w:b/>
                <w:lang w:val="en-AU"/>
              </w:rPr>
            </w:pPr>
            <w:r w:rsidRPr="00D04405">
              <w:rPr>
                <w:color w:val="002060"/>
                <w:lang w:val="en-AU"/>
              </w:rPr>
              <w:t xml:space="preserve">This document </w:t>
            </w:r>
            <w:r w:rsidR="00717726" w:rsidRPr="00D04405">
              <w:rPr>
                <w:color w:val="002060"/>
                <w:lang w:val="en-AU"/>
              </w:rPr>
              <w:t>includes all key information as stipulated by the Australian Privacy Principles 5.2</w:t>
            </w:r>
            <w:r w:rsidR="00050821" w:rsidRPr="00D04405">
              <w:rPr>
                <w:color w:val="002060"/>
                <w:lang w:val="en-AU"/>
              </w:rPr>
              <w:t>.</w:t>
            </w:r>
          </w:p>
        </w:tc>
      </w:tr>
    </w:tbl>
    <w:p w14:paraId="738AE645" w14:textId="77777777" w:rsidR="00BC6438" w:rsidRDefault="00717726" w:rsidP="000C6498">
      <w:pPr>
        <w:rPr>
          <w:lang w:val="en-AU"/>
        </w:rPr>
      </w:pPr>
      <w:r>
        <w:rPr>
          <w:lang w:val="en-AU"/>
        </w:rPr>
        <w:lastRenderedPageBreak/>
        <w:br/>
      </w:r>
      <w:r w:rsidRPr="00717726">
        <w:rPr>
          <w:b/>
          <w:lang w:val="en-AU"/>
        </w:rPr>
        <w:t xml:space="preserve">Note: </w:t>
      </w:r>
      <w:r>
        <w:rPr>
          <w:lang w:val="en-AU"/>
        </w:rPr>
        <w:t>The DSS Standard Notification arrangements do not apply to organisations who choose not to store personal information in the Dat</w:t>
      </w:r>
      <w:r w:rsidR="00357A3B">
        <w:rPr>
          <w:lang w:val="en-AU"/>
        </w:rPr>
        <w:t>a Exchange. See Question 8</w:t>
      </w:r>
      <w:r>
        <w:rPr>
          <w:lang w:val="en-AU"/>
        </w:rPr>
        <w:t>.</w:t>
      </w:r>
    </w:p>
    <w:p w14:paraId="32B0E079" w14:textId="757002DF" w:rsidR="00D75489" w:rsidRDefault="00612A59" w:rsidP="000C6498">
      <w:pPr>
        <w:rPr>
          <w:lang w:val="en-AU"/>
        </w:rPr>
      </w:pPr>
      <w:r>
        <w:rPr>
          <w:b/>
          <w:color w:val="002060"/>
          <w:sz w:val="28"/>
          <w:szCs w:val="28"/>
          <w:lang w:val="en-AU"/>
        </w:rPr>
        <w:pict w14:anchorId="01E626ED">
          <v:rect id="_x0000_i1035" style="width:0;height:1.5pt" o:hralign="center" o:bullet="t" o:hrstd="t" o:hr="t" fillcolor="#a0a0a0" stroked="f"/>
        </w:pict>
      </w:r>
    </w:p>
    <w:p w14:paraId="46A06217" w14:textId="77777777" w:rsidR="007E3615" w:rsidRPr="00BC6438" w:rsidRDefault="007E3615" w:rsidP="007E3615">
      <w:pPr>
        <w:pStyle w:val="H1"/>
        <w:numPr>
          <w:ilvl w:val="0"/>
          <w:numId w:val="28"/>
        </w:numPr>
        <w:ind w:left="357" w:hanging="357"/>
        <w:rPr>
          <w:sz w:val="32"/>
          <w:szCs w:val="32"/>
        </w:rPr>
      </w:pPr>
      <w:bookmarkStart w:id="5" w:name="Question5"/>
      <w:r w:rsidRPr="00BC6438">
        <w:rPr>
          <w:sz w:val="32"/>
          <w:szCs w:val="32"/>
        </w:rPr>
        <w:t>What do I need to tell my clients about consent?</w:t>
      </w:r>
    </w:p>
    <w:bookmarkEnd w:id="5"/>
    <w:p w14:paraId="11DFE7EC" w14:textId="77777777" w:rsidR="00A30231" w:rsidRPr="00A30231" w:rsidRDefault="00D75489" w:rsidP="00A30231">
      <w:pPr>
        <w:rPr>
          <w:lang w:val="en-AU"/>
        </w:rPr>
      </w:pPr>
      <w:r>
        <w:rPr>
          <w:lang w:val="en-AU"/>
        </w:rPr>
        <w:t>When obtaining client consent, you should explain the following:</w:t>
      </w:r>
    </w:p>
    <w:p w14:paraId="55D0FADC" w14:textId="77777777" w:rsidR="00F56B98" w:rsidRDefault="00F56B98" w:rsidP="005B59F0">
      <w:pPr>
        <w:pStyle w:val="ListParagraph"/>
        <w:numPr>
          <w:ilvl w:val="0"/>
          <w:numId w:val="23"/>
        </w:numPr>
        <w:rPr>
          <w:lang w:val="en-AU"/>
        </w:rPr>
      </w:pPr>
      <w:r>
        <w:rPr>
          <w:lang w:val="en-AU"/>
        </w:rPr>
        <w:t xml:space="preserve">Personal information includes their full name and street-level address. </w:t>
      </w:r>
    </w:p>
    <w:p w14:paraId="4D34B79E" w14:textId="77777777" w:rsidR="00F56B98" w:rsidRPr="00D75489" w:rsidRDefault="00D75489" w:rsidP="00D75489">
      <w:pPr>
        <w:pStyle w:val="ListParagraph"/>
        <w:numPr>
          <w:ilvl w:val="0"/>
          <w:numId w:val="23"/>
        </w:numPr>
        <w:rPr>
          <w:lang w:val="en-AU"/>
        </w:rPr>
      </w:pPr>
      <w:r>
        <w:rPr>
          <w:lang w:val="en-AU"/>
        </w:rPr>
        <w:t>If they do not consent, this</w:t>
      </w:r>
      <w:r w:rsidR="00F56B98">
        <w:rPr>
          <w:lang w:val="en-AU"/>
        </w:rPr>
        <w:t xml:space="preserve"> personal information will not be stored in the Data Exchange.</w:t>
      </w:r>
      <w:r>
        <w:rPr>
          <w:lang w:val="en-AU"/>
        </w:rPr>
        <w:t xml:space="preserve"> </w:t>
      </w:r>
      <w:r w:rsidR="00F56B98" w:rsidRPr="00D75489">
        <w:rPr>
          <w:lang w:val="en-AU"/>
        </w:rPr>
        <w:t xml:space="preserve">However, other information they provide (e.g. gender, date of birth) </w:t>
      </w:r>
      <w:r w:rsidR="00050821" w:rsidRPr="00D75489">
        <w:rPr>
          <w:lang w:val="en-AU"/>
        </w:rPr>
        <w:t>will.</w:t>
      </w:r>
    </w:p>
    <w:p w14:paraId="7A74FF3D" w14:textId="77777777" w:rsidR="00F56B98" w:rsidRPr="00D75489" w:rsidRDefault="007008EF" w:rsidP="00D75489">
      <w:pPr>
        <w:pStyle w:val="ListParagraph"/>
        <w:numPr>
          <w:ilvl w:val="0"/>
          <w:numId w:val="23"/>
        </w:numPr>
        <w:rPr>
          <w:lang w:val="en-AU"/>
        </w:rPr>
      </w:pPr>
      <w:r>
        <w:rPr>
          <w:lang w:val="en-AU"/>
        </w:rPr>
        <w:t>Consent is completely voluntary</w:t>
      </w:r>
      <w:r w:rsidR="00D75489">
        <w:rPr>
          <w:lang w:val="en-AU"/>
        </w:rPr>
        <w:t xml:space="preserve"> and </w:t>
      </w:r>
      <w:r w:rsidR="00F56B98" w:rsidRPr="00D75489">
        <w:rPr>
          <w:lang w:val="en-AU"/>
        </w:rPr>
        <w:t>can be withdrawn at any time.</w:t>
      </w:r>
    </w:p>
    <w:p w14:paraId="7570B501" w14:textId="74B289E0" w:rsidR="007008EF" w:rsidRDefault="009D78A8" w:rsidP="009D78A8">
      <w:pPr>
        <w:pStyle w:val="ListParagraph"/>
        <w:numPr>
          <w:ilvl w:val="0"/>
          <w:numId w:val="23"/>
        </w:numPr>
        <w:rPr>
          <w:lang w:val="en-AU"/>
        </w:rPr>
      </w:pPr>
      <w:r>
        <w:rPr>
          <w:lang w:val="en-AU"/>
        </w:rPr>
        <w:t xml:space="preserve">If a client does not give consent it will </w:t>
      </w:r>
      <w:r w:rsidR="007008EF" w:rsidRPr="009D78A8">
        <w:rPr>
          <w:lang w:val="en-AU"/>
        </w:rPr>
        <w:t>not affect the services they receive or their relationsh</w:t>
      </w:r>
      <w:r w:rsidR="000966AC">
        <w:rPr>
          <w:lang w:val="en-AU"/>
        </w:rPr>
        <w:t>ip with the service provider</w:t>
      </w:r>
      <w:r w:rsidR="007008EF" w:rsidRPr="009D78A8">
        <w:rPr>
          <w:lang w:val="en-AU"/>
        </w:rPr>
        <w:t>.</w:t>
      </w:r>
    </w:p>
    <w:tbl>
      <w:tblPr>
        <w:tblStyle w:val="TableGrid"/>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9587"/>
      </w:tblGrid>
      <w:tr w:rsidR="00632C92" w14:paraId="50B14963" w14:textId="77777777" w:rsidTr="00F56B98">
        <w:trPr>
          <w:trHeight w:val="1134"/>
        </w:trPr>
        <w:tc>
          <w:tcPr>
            <w:tcW w:w="10041" w:type="dxa"/>
            <w:tcBorders>
              <w:top w:val="single" w:sz="18" w:space="0" w:color="002060"/>
              <w:left w:val="single" w:sz="18" w:space="0" w:color="002060"/>
              <w:bottom w:val="single" w:sz="18" w:space="0" w:color="002060"/>
              <w:right w:val="single" w:sz="18" w:space="0" w:color="002060"/>
            </w:tcBorders>
            <w:shd w:val="clear" w:color="auto" w:fill="D5DCE4" w:themeFill="text2" w:themeFillTint="33"/>
            <w:vAlign w:val="center"/>
          </w:tcPr>
          <w:p w14:paraId="7FDCCC4A" w14:textId="253946BE" w:rsidR="00954347" w:rsidRPr="00357A3B" w:rsidRDefault="00EB06F8" w:rsidP="00357A3B">
            <w:pPr>
              <w:spacing w:before="120" w:after="120"/>
              <w:jc w:val="center"/>
              <w:rPr>
                <w:color w:val="002060"/>
                <w:lang w:val="en-AU"/>
              </w:rPr>
            </w:pPr>
            <w:r>
              <w:rPr>
                <w:color w:val="002060"/>
                <w:lang w:val="en-AU"/>
              </w:rPr>
              <w:t>You can use this</w:t>
            </w:r>
            <w:r w:rsidR="00954347" w:rsidRPr="00357A3B">
              <w:rPr>
                <w:color w:val="002060"/>
                <w:lang w:val="en-AU"/>
              </w:rPr>
              <w:t xml:space="preserve"> information sheet to clients about the Data Exchange, privacy and consent. </w:t>
            </w:r>
          </w:p>
          <w:p w14:paraId="5496267F" w14:textId="77777777" w:rsidR="00954347" w:rsidRPr="00357A3B" w:rsidRDefault="00954347" w:rsidP="00357A3B">
            <w:pPr>
              <w:spacing w:before="120" w:after="120"/>
              <w:jc w:val="center"/>
              <w:rPr>
                <w:color w:val="002060"/>
                <w:lang w:val="en-AU"/>
              </w:rPr>
            </w:pPr>
            <w:r w:rsidRPr="00357A3B">
              <w:rPr>
                <w:rStyle w:val="Hyperlink"/>
              </w:rPr>
              <w:t>What is the Data Exchange and how will my information be used?</w:t>
            </w:r>
          </w:p>
          <w:p w14:paraId="1F4FBA78" w14:textId="77777777" w:rsidR="00632C92" w:rsidRPr="003A288A" w:rsidRDefault="00954347" w:rsidP="00357A3B">
            <w:pPr>
              <w:spacing w:before="120" w:after="120"/>
              <w:jc w:val="center"/>
              <w:rPr>
                <w:b/>
                <w:lang w:val="en-AU"/>
              </w:rPr>
            </w:pPr>
            <w:r w:rsidRPr="00357A3B">
              <w:rPr>
                <w:color w:val="002060"/>
                <w:lang w:val="en-AU"/>
              </w:rPr>
              <w:t>This document includes all key information as stipulated by the Australian Privacy Principles 5.2</w:t>
            </w:r>
            <w:r w:rsidR="00050821" w:rsidRPr="00357A3B">
              <w:rPr>
                <w:color w:val="002060"/>
                <w:lang w:val="en-AU"/>
              </w:rPr>
              <w:t>.</w:t>
            </w:r>
          </w:p>
        </w:tc>
      </w:tr>
    </w:tbl>
    <w:p w14:paraId="3C5932DB" w14:textId="77777777" w:rsidR="00D04405" w:rsidRDefault="00612A59" w:rsidP="00924397">
      <w:pPr>
        <w:rPr>
          <w:lang w:val="en-AU"/>
        </w:rPr>
      </w:pPr>
      <w:bookmarkStart w:id="6" w:name="Question7"/>
      <w:r>
        <w:rPr>
          <w:b/>
          <w:color w:val="002060"/>
          <w:sz w:val="28"/>
          <w:szCs w:val="28"/>
          <w:lang w:val="en-AU"/>
        </w:rPr>
        <w:pict w14:anchorId="1329915F">
          <v:rect id="_x0000_i1030" style="width:0;height:1.5pt" o:hralign="center" o:hrstd="t" o:hr="t" fillcolor="#a0a0a0" stroked="f"/>
        </w:pict>
      </w:r>
    </w:p>
    <w:p w14:paraId="4500D7DF" w14:textId="77777777" w:rsidR="00346527" w:rsidRPr="007E3615" w:rsidRDefault="00346527" w:rsidP="00346527">
      <w:pPr>
        <w:pStyle w:val="H1"/>
        <w:numPr>
          <w:ilvl w:val="0"/>
          <w:numId w:val="28"/>
        </w:numPr>
        <w:ind w:left="357" w:hanging="357"/>
        <w:rPr>
          <w:sz w:val="32"/>
          <w:szCs w:val="32"/>
        </w:rPr>
      </w:pPr>
      <w:r w:rsidRPr="007E3615">
        <w:rPr>
          <w:sz w:val="32"/>
          <w:szCs w:val="32"/>
        </w:rPr>
        <w:t>What if my organisation chooses not to store personal information in the Data Exchange?</w:t>
      </w:r>
    </w:p>
    <w:bookmarkEnd w:id="6"/>
    <w:p w14:paraId="4C665775" w14:textId="77777777" w:rsidR="00346527" w:rsidRDefault="00346527" w:rsidP="006D59C8">
      <w:pPr>
        <w:rPr>
          <w:lang w:val="en-AU"/>
        </w:rPr>
      </w:pPr>
      <w:r>
        <w:rPr>
          <w:lang w:val="en-AU"/>
        </w:rPr>
        <w:t>If your organisation conducts bulk uploads or system-to-system transfer</w:t>
      </w:r>
      <w:r w:rsidR="00B9319D">
        <w:rPr>
          <w:lang w:val="en-AU"/>
        </w:rPr>
        <w:t>s</w:t>
      </w:r>
      <w:r>
        <w:rPr>
          <w:lang w:val="en-AU"/>
        </w:rPr>
        <w:t xml:space="preserve">, you may choose to not store </w:t>
      </w:r>
      <w:r w:rsidR="00B9319D">
        <w:rPr>
          <w:lang w:val="en-AU"/>
        </w:rPr>
        <w:t xml:space="preserve">client’s </w:t>
      </w:r>
      <w:r>
        <w:rPr>
          <w:lang w:val="en-AU"/>
        </w:rPr>
        <w:t>personal information in the Data Exchange.</w:t>
      </w:r>
    </w:p>
    <w:p w14:paraId="0D360E5B" w14:textId="77777777" w:rsidR="00B9319D" w:rsidRDefault="00B9319D" w:rsidP="006D59C8">
      <w:pPr>
        <w:rPr>
          <w:lang w:val="en-AU"/>
        </w:rPr>
      </w:pPr>
      <w:r>
        <w:rPr>
          <w:lang w:val="en-AU"/>
        </w:rPr>
        <w:t>To do this, you will:</w:t>
      </w:r>
    </w:p>
    <w:p w14:paraId="6DD16D48" w14:textId="77777777" w:rsidR="00346527" w:rsidRDefault="00B9319D" w:rsidP="00B9319D">
      <w:pPr>
        <w:pStyle w:val="ListParagraph"/>
        <w:numPr>
          <w:ilvl w:val="0"/>
          <w:numId w:val="29"/>
        </w:numPr>
        <w:rPr>
          <w:lang w:val="en-AU"/>
        </w:rPr>
      </w:pPr>
      <w:r w:rsidRPr="00B9319D">
        <w:rPr>
          <w:lang w:val="en-AU"/>
        </w:rPr>
        <w:t xml:space="preserve">remove </w:t>
      </w:r>
      <w:r w:rsidR="00346527" w:rsidRPr="00B9319D">
        <w:rPr>
          <w:lang w:val="en-AU"/>
        </w:rPr>
        <w:t xml:space="preserve">client’s personal information (i.e. full name and street-level address) before you conduct your upload or transfer. </w:t>
      </w:r>
    </w:p>
    <w:p w14:paraId="165A5427" w14:textId="77777777" w:rsidR="00B9319D" w:rsidRDefault="00B9319D" w:rsidP="00B9319D">
      <w:pPr>
        <w:pStyle w:val="ListParagraph"/>
        <w:numPr>
          <w:ilvl w:val="0"/>
          <w:numId w:val="29"/>
        </w:numPr>
        <w:rPr>
          <w:lang w:val="en-AU"/>
        </w:rPr>
      </w:pPr>
      <w:r>
        <w:rPr>
          <w:lang w:val="en-AU"/>
        </w:rPr>
        <w:t>indicate that client consent has not been provided</w:t>
      </w:r>
    </w:p>
    <w:p w14:paraId="225B0C59" w14:textId="77777777" w:rsidR="003A288A" w:rsidRPr="00B9319D" w:rsidRDefault="003A288A" w:rsidP="00B9319D">
      <w:pPr>
        <w:pStyle w:val="ListParagraph"/>
        <w:numPr>
          <w:ilvl w:val="0"/>
          <w:numId w:val="29"/>
        </w:numPr>
        <w:rPr>
          <w:lang w:val="en-AU"/>
        </w:rPr>
      </w:pPr>
      <w:r>
        <w:rPr>
          <w:lang w:val="en-AU"/>
        </w:rPr>
        <w:t xml:space="preserve">generate SLKs for your client’s </w:t>
      </w:r>
    </w:p>
    <w:p w14:paraId="19F5844E" w14:textId="77777777" w:rsidR="00B9319D" w:rsidRDefault="00B9319D" w:rsidP="006D59C8">
      <w:pPr>
        <w:rPr>
          <w:lang w:val="en-AU"/>
        </w:rPr>
      </w:pPr>
      <w:r>
        <w:rPr>
          <w:lang w:val="en-AU"/>
        </w:rPr>
        <w:lastRenderedPageBreak/>
        <w:t xml:space="preserve">The DSS Standard Notification arrangements do not apply to your organisation if you choose not to store client’s personal information in the Data Exchange. </w:t>
      </w:r>
    </w:p>
    <w:p w14:paraId="7AE1733B" w14:textId="28496B62" w:rsidR="00B9319D" w:rsidRDefault="003A288A" w:rsidP="006D59C8">
      <w:pPr>
        <w:rPr>
          <w:lang w:val="en-AU"/>
        </w:rPr>
      </w:pPr>
      <w:r>
        <w:rPr>
          <w:lang w:val="en-AU"/>
        </w:rPr>
        <w:t>However, w</w:t>
      </w:r>
      <w:r w:rsidR="00B9319D">
        <w:rPr>
          <w:lang w:val="en-AU"/>
        </w:rPr>
        <w:t xml:space="preserve">e </w:t>
      </w:r>
      <w:r w:rsidR="00EB06F8">
        <w:rPr>
          <w:lang w:val="en-AU"/>
        </w:rPr>
        <w:t xml:space="preserve">still </w:t>
      </w:r>
      <w:r w:rsidR="00B9319D">
        <w:rPr>
          <w:lang w:val="en-AU"/>
        </w:rPr>
        <w:t xml:space="preserve">encourage </w:t>
      </w:r>
      <w:r w:rsidR="00EB06F8">
        <w:rPr>
          <w:lang w:val="en-AU"/>
        </w:rPr>
        <w:t>you</w:t>
      </w:r>
      <w:r w:rsidR="00B9319D">
        <w:rPr>
          <w:lang w:val="en-AU"/>
        </w:rPr>
        <w:t xml:space="preserve"> to speak to their clients about the </w:t>
      </w:r>
      <w:r w:rsidR="007E3615">
        <w:rPr>
          <w:lang w:val="en-AU"/>
        </w:rPr>
        <w:t>reporting platform</w:t>
      </w:r>
      <w:r w:rsidR="00B9319D">
        <w:rPr>
          <w:lang w:val="en-AU"/>
        </w:rPr>
        <w:t>. While it is not a legal obligation, service providers should be open and honest with their clients about who is using their information (even</w:t>
      </w:r>
      <w:r w:rsidR="00842D85">
        <w:rPr>
          <w:lang w:val="en-AU"/>
        </w:rPr>
        <w:t xml:space="preserve"> if it is de-identified) and why</w:t>
      </w:r>
      <w:r w:rsidR="00B9319D">
        <w:rPr>
          <w:lang w:val="en-AU"/>
        </w:rPr>
        <w:t xml:space="preserve">. </w:t>
      </w:r>
    </w:p>
    <w:p w14:paraId="2D7B504D" w14:textId="61CB037D" w:rsidR="00612A59" w:rsidRDefault="007E3615" w:rsidP="00612A59">
      <w:pPr>
        <w:rPr>
          <w:lang w:val="en-AU"/>
        </w:rPr>
      </w:pPr>
      <w:r>
        <w:rPr>
          <w:lang w:val="en-AU"/>
        </w:rPr>
        <w:t>Further, service providers will still need to obtain consent to participate in follow-up research, surveys</w:t>
      </w:r>
      <w:r w:rsidR="00EB06F8">
        <w:rPr>
          <w:lang w:val="en-AU"/>
        </w:rPr>
        <w:t>,</w:t>
      </w:r>
      <w:r>
        <w:rPr>
          <w:lang w:val="en-AU"/>
        </w:rPr>
        <w:t xml:space="preserve"> or evaluation.</w:t>
      </w:r>
      <w:r w:rsidR="00612A59">
        <w:rPr>
          <w:b/>
          <w:color w:val="002060"/>
          <w:sz w:val="28"/>
          <w:szCs w:val="28"/>
          <w:lang w:val="en-AU"/>
        </w:rPr>
        <w:pict w14:anchorId="01786C96">
          <v:rect id="_x0000_i1033" style="width:0;height:1.5pt" o:hralign="center" o:hrstd="t" o:hr="t" fillcolor="#a0a0a0" stroked="f"/>
        </w:pict>
      </w:r>
    </w:p>
    <w:p w14:paraId="6B72732B" w14:textId="77777777" w:rsidR="002F64F6" w:rsidRPr="007E3615" w:rsidRDefault="002F64F6" w:rsidP="00DC0D8A">
      <w:pPr>
        <w:pStyle w:val="H1"/>
        <w:numPr>
          <w:ilvl w:val="0"/>
          <w:numId w:val="28"/>
        </w:numPr>
        <w:ind w:left="357" w:hanging="357"/>
        <w:rPr>
          <w:sz w:val="32"/>
          <w:szCs w:val="32"/>
        </w:rPr>
      </w:pPr>
      <w:bookmarkStart w:id="7" w:name="Question8"/>
      <w:r w:rsidRPr="007E3615">
        <w:rPr>
          <w:sz w:val="32"/>
          <w:szCs w:val="32"/>
        </w:rPr>
        <w:t xml:space="preserve">What privacy </w:t>
      </w:r>
      <w:r w:rsidR="00C9519F" w:rsidRPr="007E3615">
        <w:rPr>
          <w:sz w:val="32"/>
          <w:szCs w:val="32"/>
        </w:rPr>
        <w:t>protocols</w:t>
      </w:r>
      <w:r w:rsidRPr="007E3615">
        <w:rPr>
          <w:sz w:val="32"/>
          <w:szCs w:val="32"/>
        </w:rPr>
        <w:t xml:space="preserve"> </w:t>
      </w:r>
      <w:r w:rsidR="009065AD">
        <w:rPr>
          <w:sz w:val="32"/>
          <w:szCs w:val="32"/>
        </w:rPr>
        <w:t>do</w:t>
      </w:r>
      <w:r w:rsidR="00B77A6C">
        <w:rPr>
          <w:sz w:val="32"/>
          <w:szCs w:val="32"/>
        </w:rPr>
        <w:t>es</w:t>
      </w:r>
      <w:r w:rsidR="009065AD">
        <w:rPr>
          <w:sz w:val="32"/>
          <w:szCs w:val="32"/>
        </w:rPr>
        <w:t xml:space="preserve"> DSS have</w:t>
      </w:r>
      <w:r w:rsidRPr="007E3615">
        <w:rPr>
          <w:sz w:val="32"/>
          <w:szCs w:val="32"/>
        </w:rPr>
        <w:t xml:space="preserve"> in place?</w:t>
      </w:r>
    </w:p>
    <w:bookmarkEnd w:id="7"/>
    <w:p w14:paraId="20B91CE1" w14:textId="77777777" w:rsidR="00C9519F" w:rsidRPr="00747E3E" w:rsidRDefault="00C9519F" w:rsidP="00C9519F">
      <w:pPr>
        <w:rPr>
          <w:lang w:val="en-AU"/>
        </w:rPr>
      </w:pPr>
      <w:r>
        <w:rPr>
          <w:lang w:val="en-AU"/>
        </w:rPr>
        <w:t>DSS</w:t>
      </w:r>
      <w:r w:rsidRPr="00747E3E">
        <w:rPr>
          <w:lang w:val="en-AU"/>
        </w:rPr>
        <w:t xml:space="preserve"> must </w:t>
      </w:r>
      <w:r>
        <w:rPr>
          <w:lang w:val="en-AU"/>
        </w:rPr>
        <w:t xml:space="preserve">comply with its obligations under the </w:t>
      </w:r>
      <w:r>
        <w:rPr>
          <w:i/>
          <w:lang w:val="en-AU"/>
        </w:rPr>
        <w:t xml:space="preserve">Privacy Act 1988 </w:t>
      </w:r>
      <w:r>
        <w:rPr>
          <w:lang w:val="en-AU"/>
        </w:rPr>
        <w:t xml:space="preserve">when collecting personal information from clients. </w:t>
      </w:r>
    </w:p>
    <w:p w14:paraId="789598B6" w14:textId="0798A86D" w:rsidR="00016359" w:rsidRDefault="00C9519F" w:rsidP="002F64F6">
      <w:pPr>
        <w:rPr>
          <w:lang w:val="en-AU"/>
        </w:rPr>
      </w:pPr>
      <w:r>
        <w:rPr>
          <w:lang w:val="en-AU"/>
        </w:rPr>
        <w:t>When you store personal information in the Data Exchange, only your organisation has access to it. Strict IT security protocols prevent DSS staff from accessing personal information for any purpose other than confirming that the privacy protocols are working.</w:t>
      </w:r>
    </w:p>
    <w:p w14:paraId="1E106811" w14:textId="77777777" w:rsidR="002F64F6" w:rsidRDefault="002F64F6" w:rsidP="00661C7C">
      <w:pPr>
        <w:spacing w:after="0"/>
        <w:rPr>
          <w:lang w:val="en-AU"/>
        </w:rPr>
      </w:pPr>
      <w:r>
        <w:rPr>
          <w:lang w:val="en-AU"/>
        </w:rPr>
        <w:t>Information stored in the Data Exchange is de-identified.</w:t>
      </w:r>
      <w:r w:rsidR="007E4520">
        <w:rPr>
          <w:lang w:val="en-AU"/>
        </w:rPr>
        <w:t xml:space="preserve"> This means that DCJ and DSS cannot see a client’s personal information. </w:t>
      </w:r>
    </w:p>
    <w:p w14:paraId="76752804" w14:textId="77777777" w:rsidR="00B459B9" w:rsidRDefault="00612A59" w:rsidP="0055358F">
      <w:pPr>
        <w:pStyle w:val="Title"/>
        <w:rPr>
          <w:b/>
          <w:color w:val="002060"/>
        </w:rPr>
      </w:pPr>
      <w:r>
        <w:rPr>
          <w:b/>
          <w:color w:val="002060"/>
        </w:rPr>
        <w:pict w14:anchorId="3CBAAC80">
          <v:rect id="_x0000_i1031" style="width:0;height:1.5pt" o:hralign="center" o:bullet="t" o:hrstd="t" o:hr="t" fillcolor="#a0a0a0" stroked="f"/>
        </w:pict>
      </w:r>
    </w:p>
    <w:p w14:paraId="078D2B7A" w14:textId="77777777" w:rsidR="005666C9" w:rsidRPr="007E3615" w:rsidRDefault="0055358F" w:rsidP="00AB2BBC">
      <w:pPr>
        <w:pStyle w:val="H1"/>
        <w:numPr>
          <w:ilvl w:val="0"/>
          <w:numId w:val="28"/>
        </w:numPr>
        <w:ind w:left="357" w:hanging="357"/>
        <w:rPr>
          <w:sz w:val="32"/>
          <w:szCs w:val="32"/>
        </w:rPr>
      </w:pPr>
      <w:bookmarkStart w:id="8" w:name="Question9"/>
      <w:r w:rsidRPr="007E3615">
        <w:rPr>
          <w:sz w:val="32"/>
          <w:szCs w:val="32"/>
        </w:rPr>
        <w:t>How do DSS and DCJ use the information stored in the Data Exchange?</w:t>
      </w:r>
      <w:bookmarkStart w:id="9" w:name="_GoBack"/>
      <w:bookmarkEnd w:id="9"/>
    </w:p>
    <w:bookmarkEnd w:id="8"/>
    <w:p w14:paraId="4DC98AE9" w14:textId="77777777" w:rsidR="0055358F" w:rsidRDefault="0055358F" w:rsidP="002F64F6">
      <w:pPr>
        <w:rPr>
          <w:lang w:val="en-AU"/>
        </w:rPr>
      </w:pPr>
      <w:r>
        <w:rPr>
          <w:lang w:val="en-AU"/>
        </w:rPr>
        <w:t>DSS and DCJ can access</w:t>
      </w:r>
      <w:r w:rsidR="00611551">
        <w:rPr>
          <w:lang w:val="en-AU"/>
        </w:rPr>
        <w:t xml:space="preserve"> de-identified</w:t>
      </w:r>
      <w:r>
        <w:rPr>
          <w:lang w:val="en-AU"/>
        </w:rPr>
        <w:t xml:space="preserve"> information stored in the Data Exchange. </w:t>
      </w:r>
    </w:p>
    <w:p w14:paraId="47E2F133" w14:textId="77777777" w:rsidR="008436FD" w:rsidRDefault="008436FD" w:rsidP="008436FD">
      <w:pPr>
        <w:rPr>
          <w:lang w:val="en-AU"/>
        </w:rPr>
      </w:pPr>
      <w:r>
        <w:rPr>
          <w:lang w:val="en-AU"/>
        </w:rPr>
        <w:t>DCJ may use information stored in the Data Exchange to help improve how the NSW government responds to client and community needs. DCJ are interested in trends across the NSW state, not individual people. They cannot access information that will reveal a client’s identity.</w:t>
      </w:r>
    </w:p>
    <w:p w14:paraId="5F701C5B" w14:textId="77777777" w:rsidR="00CA65A3" w:rsidRDefault="00DB6F01" w:rsidP="008436FD">
      <w:pPr>
        <w:rPr>
          <w:lang w:val="en-AU"/>
        </w:rPr>
      </w:pPr>
      <w:r>
        <w:rPr>
          <w:lang w:val="en-AU"/>
        </w:rPr>
        <w:t xml:space="preserve">DSS use data stored in the Data Exchange for policy development, grants program administration, and research and evaluation. This includes producing reports for other organisations. They may link this information with other data sources, (e.g. data collected from other government departments). </w:t>
      </w:r>
    </w:p>
    <w:p w14:paraId="684C0239" w14:textId="47994EC8" w:rsidR="008436FD" w:rsidRDefault="008436FD" w:rsidP="008436FD">
      <w:pPr>
        <w:rPr>
          <w:lang w:val="en-AU"/>
        </w:rPr>
      </w:pPr>
      <w:r>
        <w:rPr>
          <w:lang w:val="en-AU"/>
        </w:rPr>
        <w:t>They cannot access information that will reveal a client’s identity.</w:t>
      </w:r>
    </w:p>
    <w:p w14:paraId="21816905" w14:textId="77777777" w:rsidR="00057666" w:rsidRDefault="00612A59" w:rsidP="008436FD">
      <w:pPr>
        <w:rPr>
          <w:b/>
          <w:color w:val="002060"/>
        </w:rPr>
      </w:pPr>
      <w:r>
        <w:rPr>
          <w:b/>
          <w:color w:val="002060"/>
        </w:rPr>
        <w:pict w14:anchorId="60786CCF">
          <v:rect id="_x0000_i1032" style="width:0;height:1.5pt" o:hralign="center" o:bullet="t" o:hrstd="t" o:hr="t" fillcolor="#a0a0a0" stroked="f"/>
        </w:pict>
      </w:r>
    </w:p>
    <w:p w14:paraId="2115C56D" w14:textId="77777777" w:rsidR="008436FD" w:rsidRPr="009065AD" w:rsidRDefault="00AD426F" w:rsidP="00AB2BBC">
      <w:pPr>
        <w:pStyle w:val="H1"/>
        <w:numPr>
          <w:ilvl w:val="0"/>
          <w:numId w:val="28"/>
        </w:numPr>
        <w:ind w:left="357" w:hanging="357"/>
        <w:rPr>
          <w:sz w:val="32"/>
          <w:szCs w:val="32"/>
        </w:rPr>
      </w:pPr>
      <w:bookmarkStart w:id="10" w:name="Question10"/>
      <w:r>
        <w:rPr>
          <w:sz w:val="32"/>
          <w:szCs w:val="32"/>
        </w:rPr>
        <w:lastRenderedPageBreak/>
        <w:t xml:space="preserve">What is a </w:t>
      </w:r>
      <w:r w:rsidR="009065AD" w:rsidRPr="009065AD">
        <w:rPr>
          <w:sz w:val="32"/>
          <w:szCs w:val="32"/>
        </w:rPr>
        <w:t>Statistical Linkage Key?</w:t>
      </w:r>
    </w:p>
    <w:bookmarkEnd w:id="10"/>
    <w:p w14:paraId="5B43A084" w14:textId="1C31BAA6" w:rsidR="000D6F52" w:rsidRDefault="00AD426F" w:rsidP="00AC1331">
      <w:pPr>
        <w:rPr>
          <w:lang w:val="en-AU"/>
        </w:rPr>
      </w:pPr>
      <w:r>
        <w:rPr>
          <w:lang w:val="en-AU"/>
        </w:rPr>
        <w:t>A s</w:t>
      </w:r>
      <w:r w:rsidR="000D6F52">
        <w:rPr>
          <w:lang w:val="en-AU"/>
        </w:rPr>
        <w:t xml:space="preserve">tatistical linkage key is a code generated from </w:t>
      </w:r>
      <w:r w:rsidR="007D6D9C">
        <w:rPr>
          <w:lang w:val="en-AU"/>
        </w:rPr>
        <w:t>a</w:t>
      </w:r>
      <w:r w:rsidR="000D6F52">
        <w:rPr>
          <w:lang w:val="en-AU"/>
        </w:rPr>
        <w:t xml:space="preserve"> client’</w:t>
      </w:r>
      <w:r w:rsidR="001B1549">
        <w:rPr>
          <w:lang w:val="en-AU"/>
        </w:rPr>
        <w:t xml:space="preserve">s first and last name, </w:t>
      </w:r>
      <w:r w:rsidR="000D6F52">
        <w:rPr>
          <w:lang w:val="en-AU"/>
        </w:rPr>
        <w:t>gender</w:t>
      </w:r>
      <w:r w:rsidR="007D6D9C">
        <w:rPr>
          <w:lang w:val="en-AU"/>
        </w:rPr>
        <w:t>,</w:t>
      </w:r>
      <w:r w:rsidR="000D6F52">
        <w:rPr>
          <w:lang w:val="en-AU"/>
        </w:rPr>
        <w:t xml:space="preserve"> and date of birth. An SLK looks like this: MIHOH140219711</w:t>
      </w:r>
    </w:p>
    <w:p w14:paraId="4C71D174" w14:textId="77777777" w:rsidR="000D6F52" w:rsidRDefault="000D6F52" w:rsidP="000D6F52">
      <w:pPr>
        <w:rPr>
          <w:lang w:val="en-AU"/>
        </w:rPr>
      </w:pPr>
      <w:r>
        <w:rPr>
          <w:lang w:val="en-AU"/>
        </w:rPr>
        <w:t xml:space="preserve">The Data Exchange de-identifies client data using Statistical Linkage Keys (SLKs). </w:t>
      </w:r>
    </w:p>
    <w:p w14:paraId="457D1F64" w14:textId="3F7FCB0C" w:rsidR="009C65EA" w:rsidRDefault="000D6F52" w:rsidP="00C112AF">
      <w:pPr>
        <w:rPr>
          <w:lang w:val="en-AU"/>
        </w:rPr>
      </w:pPr>
      <w:r>
        <w:rPr>
          <w:lang w:val="en-AU"/>
        </w:rPr>
        <w:t xml:space="preserve">SLKs </w:t>
      </w:r>
      <w:r w:rsidR="009C65EA">
        <w:rPr>
          <w:lang w:val="en-AU"/>
        </w:rPr>
        <w:t>enable us to capture a client’s journey through the service system.</w:t>
      </w:r>
      <w:r w:rsidR="00C112AF">
        <w:rPr>
          <w:lang w:val="en-AU"/>
        </w:rPr>
        <w:t xml:space="preserve"> They </w:t>
      </w:r>
      <w:r w:rsidR="007D6D9C">
        <w:rPr>
          <w:lang w:val="en-AU"/>
        </w:rPr>
        <w:t>can link</w:t>
      </w:r>
      <w:r w:rsidR="00C112AF">
        <w:rPr>
          <w:lang w:val="en-AU"/>
        </w:rPr>
        <w:t xml:space="preserve"> two or more records belonging to the same client.</w:t>
      </w:r>
    </w:p>
    <w:p w14:paraId="6C2A0768" w14:textId="16A43049" w:rsidR="00057666" w:rsidRDefault="00C112AF" w:rsidP="00AC1331">
      <w:pPr>
        <w:rPr>
          <w:lang w:val="en-AU"/>
        </w:rPr>
      </w:pPr>
      <w:r>
        <w:rPr>
          <w:lang w:val="en-AU"/>
        </w:rPr>
        <w:t>An SLK will be invalid if client details (name, dat</w:t>
      </w:r>
      <w:r w:rsidR="00057666">
        <w:rPr>
          <w:lang w:val="en-AU"/>
        </w:rPr>
        <w:t>e of birth and gender) are false</w:t>
      </w:r>
      <w:r>
        <w:rPr>
          <w:lang w:val="en-AU"/>
        </w:rPr>
        <w:t xml:space="preserve">, </w:t>
      </w:r>
      <w:r w:rsidR="007D6D9C">
        <w:rPr>
          <w:lang w:val="en-AU"/>
        </w:rPr>
        <w:t>incomplete,</w:t>
      </w:r>
      <w:r>
        <w:rPr>
          <w:lang w:val="en-AU"/>
        </w:rPr>
        <w:t xml:space="preserve"> or incorrect. If a client returns to a service or move</w:t>
      </w:r>
      <w:r w:rsidR="00057666">
        <w:rPr>
          <w:lang w:val="en-AU"/>
        </w:rPr>
        <w:t>s</w:t>
      </w:r>
      <w:r>
        <w:rPr>
          <w:lang w:val="en-AU"/>
        </w:rPr>
        <w:t xml:space="preserve"> between services, it will get harder to follow </w:t>
      </w:r>
      <w:r w:rsidR="00057666">
        <w:rPr>
          <w:lang w:val="en-AU"/>
        </w:rPr>
        <w:t>their journey over time. As such, i</w:t>
      </w:r>
      <w:r w:rsidR="009C65EA">
        <w:rPr>
          <w:lang w:val="en-AU"/>
        </w:rPr>
        <w:t xml:space="preserve">t is </w:t>
      </w:r>
      <w:r w:rsidR="007D6D9C">
        <w:rPr>
          <w:lang w:val="en-AU"/>
        </w:rPr>
        <w:t>very</w:t>
      </w:r>
      <w:r w:rsidR="009C65EA">
        <w:rPr>
          <w:lang w:val="en-AU"/>
        </w:rPr>
        <w:t xml:space="preserve"> important that </w:t>
      </w:r>
      <w:r w:rsidR="00057666">
        <w:rPr>
          <w:lang w:val="en-AU"/>
        </w:rPr>
        <w:t xml:space="preserve">you </w:t>
      </w:r>
      <w:r w:rsidR="009C65EA">
        <w:rPr>
          <w:lang w:val="en-AU"/>
        </w:rPr>
        <w:t xml:space="preserve">do not enter false </w:t>
      </w:r>
      <w:r w:rsidR="00057666">
        <w:rPr>
          <w:lang w:val="en-AU"/>
        </w:rPr>
        <w:t>client details into the Data Exchange.</w:t>
      </w:r>
    </w:p>
    <w:p w14:paraId="236B16F2" w14:textId="27D1653A" w:rsidR="00AD426F" w:rsidRDefault="00AD426F" w:rsidP="00AD426F">
      <w:r>
        <w:t xml:space="preserve">A client’s SLK is not visible to organisations in the Data Exchange. </w:t>
      </w:r>
      <w:r w:rsidR="00B85CB6">
        <w:t>SLKs are</w:t>
      </w:r>
      <w:r>
        <w:t xml:space="preserve"> only visible to a restricted number of DSS employees who perform database ad</w:t>
      </w:r>
      <w:r w:rsidR="00836048">
        <w:t>ministration or data analytics</w:t>
      </w:r>
      <w:r w:rsidR="007D6D9C">
        <w:t>.</w:t>
      </w:r>
    </w:p>
    <w:p w14:paraId="5E5C069F" w14:textId="77777777" w:rsidR="00836048" w:rsidRPr="00836048" w:rsidRDefault="00836048" w:rsidP="00AD426F">
      <w:pPr>
        <w:rPr>
          <w:b/>
          <w:color w:val="002060"/>
        </w:rPr>
      </w:pPr>
      <w:r w:rsidRPr="00836048">
        <w:rPr>
          <w:b/>
          <w:color w:val="002060"/>
        </w:rPr>
        <w:t>Do I need to generate a SLK?</w:t>
      </w:r>
    </w:p>
    <w:p w14:paraId="0B76F142" w14:textId="77777777" w:rsidR="00836048" w:rsidRDefault="00AD426F" w:rsidP="00AD426F">
      <w:r>
        <w:t>For organisations using the Data Exchange web-based portal, the SLK is automatically generated</w:t>
      </w:r>
      <w:r w:rsidR="00836048">
        <w:t xml:space="preserve"> within the system</w:t>
      </w:r>
      <w:r>
        <w:t xml:space="preserve">. </w:t>
      </w:r>
    </w:p>
    <w:p w14:paraId="6D122F3D" w14:textId="0FEE312A" w:rsidR="00836048" w:rsidRDefault="00AD426F" w:rsidP="00AD426F">
      <w:r>
        <w:t xml:space="preserve">For organisations using bulk uploads or system-to-system transfers, the SLK can be incorporated into </w:t>
      </w:r>
      <w:r w:rsidR="00836048">
        <w:t>your</w:t>
      </w:r>
      <w:r>
        <w:t xml:space="preserve"> client management syste</w:t>
      </w:r>
      <w:r w:rsidR="007D6D9C">
        <w:t>m.</w:t>
      </w:r>
      <w:r>
        <w:t xml:space="preserve"> </w:t>
      </w:r>
    </w:p>
    <w:p w14:paraId="6DAB3530" w14:textId="77777777" w:rsidR="0034074F" w:rsidRPr="00252E1F" w:rsidRDefault="00836048" w:rsidP="00DB6F01">
      <w:r>
        <w:t xml:space="preserve">Go to </w:t>
      </w:r>
      <w:hyperlink r:id="rId14" w:history="1">
        <w:r w:rsidRPr="00836048">
          <w:rPr>
            <w:rStyle w:val="Hyperlink"/>
          </w:rPr>
          <w:t>The Data Exchange Web Services</w:t>
        </w:r>
      </w:hyperlink>
      <w:r w:rsidRPr="00836048">
        <w:rPr>
          <w:rStyle w:val="Hyperlink"/>
        </w:rPr>
        <w:t xml:space="preserve"> technical specifications</w:t>
      </w:r>
      <w:r>
        <w:t xml:space="preserve"> for help configuring </w:t>
      </w:r>
      <w:r w:rsidR="007E4825">
        <w:t>your system</w:t>
      </w:r>
      <w:r>
        <w:t xml:space="preserve"> to push the SLK across to the Data Exchange.</w:t>
      </w:r>
    </w:p>
    <w:sectPr w:rsidR="0034074F" w:rsidRPr="00252E1F" w:rsidSect="00612A59">
      <w:headerReference w:type="default" r:id="rId15"/>
      <w:footerReference w:type="even" r:id="rId16"/>
      <w:footerReference w:type="default" r:id="rId17"/>
      <w:headerReference w:type="first" r:id="rId18"/>
      <w:footerReference w:type="first" r:id="rId19"/>
      <w:pgSz w:w="11901" w:h="16817"/>
      <w:pgMar w:top="1440" w:right="1134" w:bottom="126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24A1A" w14:textId="77777777" w:rsidR="00F9611B" w:rsidRDefault="00F9611B" w:rsidP="00B856DA">
      <w:r>
        <w:separator/>
      </w:r>
    </w:p>
  </w:endnote>
  <w:endnote w:type="continuationSeparator" w:id="0">
    <w:p w14:paraId="3C3F9ECF" w14:textId="77777777" w:rsidR="00F9611B" w:rsidRDefault="00F9611B" w:rsidP="00B85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w:altName w:val="Century"/>
    <w:panose1 w:val="02000504050000020004"/>
    <w:charset w:val="00"/>
    <w:family w:val="auto"/>
    <w:pitch w:val="variable"/>
    <w:sig w:usb0="800000A7"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otham Book">
    <w:altName w:val="Arial"/>
    <w:panose1 w:val="00000000000000000000"/>
    <w:charset w:val="00"/>
    <w:family w:val="modern"/>
    <w:notTrueType/>
    <w:pitch w:val="variable"/>
    <w:sig w:usb0="800000AF" w:usb1="50000048" w:usb2="00000000" w:usb3="00000000" w:csb0="00000111" w:csb1="00000000"/>
  </w:font>
  <w:font w:name="Gotham Bold">
    <w:altName w:val="Times New Roman"/>
    <w:panose1 w:val="00000000000000000000"/>
    <w:charset w:val="00"/>
    <w:family w:val="auto"/>
    <w:notTrueType/>
    <w:pitch w:val="variable"/>
    <w:sig w:usb0="00000001"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Gotham Medium">
    <w:altName w:val="Times New Roman"/>
    <w:panose1 w:val="00000000000000000000"/>
    <w:charset w:val="00"/>
    <w:family w:val="auto"/>
    <w:notTrueType/>
    <w:pitch w:val="variable"/>
    <w:sig w:usb0="00000001" w:usb1="4000005B"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37947866"/>
      <w:docPartObj>
        <w:docPartGallery w:val="Page Numbers (Bottom of Page)"/>
        <w:docPartUnique/>
      </w:docPartObj>
    </w:sdtPr>
    <w:sdtEndPr>
      <w:rPr>
        <w:rStyle w:val="PageNumber"/>
      </w:rPr>
    </w:sdtEndPr>
    <w:sdtContent>
      <w:p w14:paraId="10C26690" w14:textId="77777777" w:rsidR="00D245BE" w:rsidRDefault="00D245BE" w:rsidP="00B856DA">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CE5583A" w14:textId="77777777" w:rsidR="00287EC8" w:rsidRPr="00B44410" w:rsidRDefault="00B44410" w:rsidP="00B856DA">
    <w:pPr>
      <w:pStyle w:val="Footer"/>
    </w:pPr>
    <w:r w:rsidRPr="00B44410">
      <w:t>2</w:t>
    </w:r>
    <w:r w:rsidRPr="00B44410">
      <w:tab/>
      <w:t>Hunter and Central Coast Targeted Earlier Intervention (TEI) Recommissioning Local Plan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326149"/>
      <w:docPartObj>
        <w:docPartGallery w:val="Page Numbers (Bottom of Page)"/>
        <w:docPartUnique/>
      </w:docPartObj>
    </w:sdtPr>
    <w:sdtEndPr>
      <w:rPr>
        <w:noProof/>
        <w:sz w:val="20"/>
        <w:szCs w:val="20"/>
      </w:rPr>
    </w:sdtEndPr>
    <w:sdtContent>
      <w:p w14:paraId="39E17BEC" w14:textId="7FBA4C54" w:rsidR="000D2575" w:rsidRPr="000D2575" w:rsidRDefault="000D2575">
        <w:pPr>
          <w:pStyle w:val="Footer"/>
          <w:jc w:val="right"/>
          <w:rPr>
            <w:sz w:val="20"/>
            <w:szCs w:val="20"/>
          </w:rPr>
        </w:pPr>
        <w:r w:rsidRPr="000D2575">
          <w:rPr>
            <w:sz w:val="20"/>
            <w:szCs w:val="20"/>
          </w:rPr>
          <w:fldChar w:fldCharType="begin"/>
        </w:r>
        <w:r w:rsidRPr="000D2575">
          <w:rPr>
            <w:sz w:val="20"/>
            <w:szCs w:val="20"/>
          </w:rPr>
          <w:instrText xml:space="preserve"> PAGE   \* MERGEFORMAT </w:instrText>
        </w:r>
        <w:r w:rsidRPr="000D2575">
          <w:rPr>
            <w:sz w:val="20"/>
            <w:szCs w:val="20"/>
          </w:rPr>
          <w:fldChar w:fldCharType="separate"/>
        </w:r>
        <w:r w:rsidR="00612A59">
          <w:rPr>
            <w:noProof/>
            <w:sz w:val="20"/>
            <w:szCs w:val="20"/>
          </w:rPr>
          <w:t>8</w:t>
        </w:r>
        <w:r w:rsidRPr="000D2575">
          <w:rPr>
            <w:noProof/>
            <w:sz w:val="20"/>
            <w:szCs w:val="20"/>
          </w:rPr>
          <w:fldChar w:fldCharType="end"/>
        </w:r>
      </w:p>
    </w:sdtContent>
  </w:sdt>
  <w:p w14:paraId="1A5BE71A" w14:textId="77777777" w:rsidR="00287EC8" w:rsidRPr="00067680" w:rsidRDefault="00287EC8" w:rsidP="00B856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614598584"/>
      <w:docPartObj>
        <w:docPartGallery w:val="Page Numbers (Bottom of Page)"/>
        <w:docPartUnique/>
      </w:docPartObj>
    </w:sdtPr>
    <w:sdtEndPr>
      <w:rPr>
        <w:noProof/>
      </w:rPr>
    </w:sdtEndPr>
    <w:sdtContent>
      <w:p w14:paraId="3166954B" w14:textId="1422A0C6" w:rsidR="000D2575" w:rsidRPr="000D2575" w:rsidRDefault="000D2575">
        <w:pPr>
          <w:pStyle w:val="Footer"/>
          <w:jc w:val="right"/>
          <w:rPr>
            <w:sz w:val="18"/>
            <w:szCs w:val="18"/>
          </w:rPr>
        </w:pPr>
        <w:r w:rsidRPr="000D2575">
          <w:rPr>
            <w:sz w:val="18"/>
            <w:szCs w:val="18"/>
          </w:rPr>
          <w:fldChar w:fldCharType="begin"/>
        </w:r>
        <w:r w:rsidRPr="000D2575">
          <w:rPr>
            <w:sz w:val="18"/>
            <w:szCs w:val="18"/>
          </w:rPr>
          <w:instrText xml:space="preserve"> PAGE   \* MERGEFORMAT </w:instrText>
        </w:r>
        <w:r w:rsidRPr="000D2575">
          <w:rPr>
            <w:sz w:val="18"/>
            <w:szCs w:val="18"/>
          </w:rPr>
          <w:fldChar w:fldCharType="separate"/>
        </w:r>
        <w:r w:rsidR="00612A59">
          <w:rPr>
            <w:noProof/>
            <w:sz w:val="18"/>
            <w:szCs w:val="18"/>
          </w:rPr>
          <w:t>1</w:t>
        </w:r>
        <w:r w:rsidRPr="000D2575">
          <w:rPr>
            <w:noProof/>
            <w:sz w:val="18"/>
            <w:szCs w:val="18"/>
          </w:rPr>
          <w:fldChar w:fldCharType="end"/>
        </w:r>
      </w:p>
    </w:sdtContent>
  </w:sdt>
  <w:p w14:paraId="477A3370" w14:textId="77777777" w:rsidR="000D2575" w:rsidRPr="000D2575" w:rsidRDefault="000D257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A034D" w14:textId="77777777" w:rsidR="00F9611B" w:rsidRDefault="00F9611B" w:rsidP="00B856DA">
      <w:r>
        <w:separator/>
      </w:r>
    </w:p>
  </w:footnote>
  <w:footnote w:type="continuationSeparator" w:id="0">
    <w:p w14:paraId="75CD5B89" w14:textId="77777777" w:rsidR="00F9611B" w:rsidRDefault="00F9611B" w:rsidP="00B85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8016C" w14:textId="77777777" w:rsidR="00067680" w:rsidRDefault="00067680" w:rsidP="00B856DA">
    <w:pPr>
      <w:pStyle w:val="Header"/>
    </w:pPr>
    <w:r>
      <w:rPr>
        <w:noProof/>
        <w:lang w:val="en-AU" w:eastAsia="en-AU"/>
      </w:rPr>
      <w:drawing>
        <wp:anchor distT="0" distB="0" distL="114300" distR="114300" simplePos="0" relativeHeight="251657728" behindDoc="1" locked="0" layoutInCell="1" allowOverlap="1" wp14:anchorId="2D081776" wp14:editId="2A78C9C8">
          <wp:simplePos x="0" y="0"/>
          <wp:positionH relativeFrom="column">
            <wp:posOffset>-613816</wp:posOffset>
          </wp:positionH>
          <wp:positionV relativeFrom="paragraph">
            <wp:posOffset>-347345</wp:posOffset>
          </wp:positionV>
          <wp:extent cx="7563142" cy="10702800"/>
          <wp:effectExtent l="0" t="0" r="0" b="381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CJ TEI Local Recommissioning Plan_header_footer.jpg"/>
                  <pic:cNvPicPr/>
                </pic:nvPicPr>
                <pic:blipFill>
                  <a:blip r:embed="rId1">
                    <a:extLst>
                      <a:ext uri="{28A0092B-C50C-407E-A947-70E740481C1C}">
                        <a14:useLocalDpi xmlns:a14="http://schemas.microsoft.com/office/drawing/2010/main" val="0"/>
                      </a:ext>
                    </a:extLst>
                  </a:blip>
                  <a:stretch>
                    <a:fillRect/>
                  </a:stretch>
                </pic:blipFill>
                <pic:spPr>
                  <a:xfrm>
                    <a:off x="0" y="0"/>
                    <a:ext cx="7563142" cy="10702800"/>
                  </a:xfrm>
                  <a:prstGeom prst="rect">
                    <a:avLst/>
                  </a:prstGeom>
                </pic:spPr>
              </pic:pic>
            </a:graphicData>
          </a:graphic>
          <wp14:sizeRelH relativeFrom="margin">
            <wp14:pctWidth>0</wp14:pctWidth>
          </wp14:sizeRelH>
          <wp14:sizeRelV relativeFrom="margin">
            <wp14:pctHeight>0</wp14:pctHeight>
          </wp14:sizeRelV>
        </wp:anchor>
      </w:drawing>
    </w:r>
    <w:r w:rsidR="008A4022">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10287" w14:textId="77777777" w:rsidR="008A4022" w:rsidRDefault="008A4022" w:rsidP="00B856DA">
    <w:pPr>
      <w:pStyle w:val="Header"/>
    </w:pPr>
    <w:r>
      <w:rPr>
        <w:noProof/>
        <w:lang w:val="en-AU" w:eastAsia="en-AU"/>
      </w:rPr>
      <w:drawing>
        <wp:anchor distT="0" distB="0" distL="114300" distR="114300" simplePos="0" relativeHeight="251656704" behindDoc="1" locked="0" layoutInCell="1" allowOverlap="1" wp14:anchorId="76E1D52B" wp14:editId="50BBD8D1">
          <wp:simplePos x="0" y="0"/>
          <wp:positionH relativeFrom="page">
            <wp:posOffset>22860</wp:posOffset>
          </wp:positionH>
          <wp:positionV relativeFrom="paragraph">
            <wp:posOffset>-350584</wp:posOffset>
          </wp:positionV>
          <wp:extent cx="7563142" cy="1070280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CJ TEI Local Recommissioning Plan_header_footer.jpg"/>
                  <pic:cNvPicPr/>
                </pic:nvPicPr>
                <pic:blipFill>
                  <a:blip r:embed="rId1">
                    <a:extLst>
                      <a:ext uri="{28A0092B-C50C-407E-A947-70E740481C1C}">
                        <a14:useLocalDpi xmlns:a14="http://schemas.microsoft.com/office/drawing/2010/main" val="0"/>
                      </a:ext>
                    </a:extLst>
                  </a:blip>
                  <a:stretch>
                    <a:fillRect/>
                  </a:stretch>
                </pic:blipFill>
                <pic:spPr>
                  <a:xfrm>
                    <a:off x="0" y="0"/>
                    <a:ext cx="7563142" cy="10702800"/>
                  </a:xfrm>
                  <a:prstGeom prst="rect">
                    <a:avLst/>
                  </a:prstGeom>
                </pic:spPr>
              </pic:pic>
            </a:graphicData>
          </a:graphic>
          <wp14:sizeRelH relativeFrom="margin">
            <wp14:pctWidth>0</wp14:pctWidth>
          </wp14:sizeRelH>
          <wp14:sizeRelV relativeFrom="margin">
            <wp14:pctHeight>0</wp14:pctHeight>
          </wp14:sizeRelV>
        </wp:anchor>
      </w:drawing>
    </w:r>
    <w:r w:rsidR="00F36D51">
      <w:t>February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abstractNum w:abstractNumId="0" w15:restartNumberingAfterBreak="0">
    <w:nsid w:val="02DE2A1C"/>
    <w:multiLevelType w:val="hybridMultilevel"/>
    <w:tmpl w:val="381A90A6"/>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 w15:restartNumberingAfterBreak="0">
    <w:nsid w:val="03197F21"/>
    <w:multiLevelType w:val="hybridMultilevel"/>
    <w:tmpl w:val="DDAE1C1A"/>
    <w:lvl w:ilvl="0" w:tplc="D27A14F2">
      <w:start w:val="1"/>
      <w:numFmt w:val="bullet"/>
      <w:lvlText w:val=""/>
      <w:lvlJc w:val="left"/>
      <w:pPr>
        <w:ind w:left="1287" w:hanging="93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5EC64E7"/>
    <w:multiLevelType w:val="hybridMultilevel"/>
    <w:tmpl w:val="938E4F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89B592E"/>
    <w:multiLevelType w:val="hybridMultilevel"/>
    <w:tmpl w:val="0284E3F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386A18"/>
    <w:multiLevelType w:val="hybridMultilevel"/>
    <w:tmpl w:val="86223AA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BF5111"/>
    <w:multiLevelType w:val="hybridMultilevel"/>
    <w:tmpl w:val="EF9E07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0F484D"/>
    <w:multiLevelType w:val="hybridMultilevel"/>
    <w:tmpl w:val="D4542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7E2487"/>
    <w:multiLevelType w:val="hybridMultilevel"/>
    <w:tmpl w:val="004EF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B05E03"/>
    <w:multiLevelType w:val="hybridMultilevel"/>
    <w:tmpl w:val="9E90937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454D89"/>
    <w:multiLevelType w:val="hybridMultilevel"/>
    <w:tmpl w:val="3E44053C"/>
    <w:lvl w:ilvl="0" w:tplc="0134845C">
      <w:numFmt w:val="bullet"/>
      <w:lvlText w:val="-"/>
      <w:lvlJc w:val="left"/>
      <w:pPr>
        <w:ind w:left="720" w:hanging="360"/>
      </w:pPr>
      <w:rPr>
        <w:rFonts w:ascii="Gotham" w:eastAsiaTheme="minorHAnsi" w:hAnsi="Gotham"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463355"/>
    <w:multiLevelType w:val="hybridMultilevel"/>
    <w:tmpl w:val="F7E81334"/>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1" w15:restartNumberingAfterBreak="0">
    <w:nsid w:val="27E529A0"/>
    <w:multiLevelType w:val="hybridMultilevel"/>
    <w:tmpl w:val="0FA47386"/>
    <w:lvl w:ilvl="0" w:tplc="9AECFE66">
      <w:numFmt w:val="bullet"/>
      <w:lvlText w:val=""/>
      <w:lvlJc w:val="left"/>
      <w:pPr>
        <w:ind w:left="1485" w:hanging="765"/>
      </w:pPr>
      <w:rPr>
        <w:rFonts w:ascii="Gotham" w:eastAsiaTheme="minorHAnsi" w:hAnsi="Gotham"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81E4178"/>
    <w:multiLevelType w:val="hybridMultilevel"/>
    <w:tmpl w:val="CE924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A926AD"/>
    <w:multiLevelType w:val="hybridMultilevel"/>
    <w:tmpl w:val="0DD619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7905EB7"/>
    <w:multiLevelType w:val="hybridMultilevel"/>
    <w:tmpl w:val="BE544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7161B5"/>
    <w:multiLevelType w:val="hybridMultilevel"/>
    <w:tmpl w:val="1D0CBD0E"/>
    <w:lvl w:ilvl="0" w:tplc="A55AED6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8287D8D"/>
    <w:multiLevelType w:val="hybridMultilevel"/>
    <w:tmpl w:val="A808B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31533F"/>
    <w:multiLevelType w:val="hybridMultilevel"/>
    <w:tmpl w:val="B0E27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681C01"/>
    <w:multiLevelType w:val="hybridMultilevel"/>
    <w:tmpl w:val="0D966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CCF3194"/>
    <w:multiLevelType w:val="hybridMultilevel"/>
    <w:tmpl w:val="341A38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5E60398"/>
    <w:multiLevelType w:val="hybridMultilevel"/>
    <w:tmpl w:val="3C0CE5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96C1212"/>
    <w:multiLevelType w:val="hybridMultilevel"/>
    <w:tmpl w:val="C3EE36BC"/>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22" w15:restartNumberingAfterBreak="0">
    <w:nsid w:val="6A005E60"/>
    <w:multiLevelType w:val="hybridMultilevel"/>
    <w:tmpl w:val="CB7E5BEE"/>
    <w:lvl w:ilvl="0" w:tplc="9DEE615E">
      <w:numFmt w:val="bullet"/>
      <w:lvlText w:val="-"/>
      <w:lvlJc w:val="left"/>
      <w:pPr>
        <w:ind w:left="720" w:hanging="360"/>
      </w:pPr>
      <w:rPr>
        <w:rFonts w:ascii="Gotham" w:eastAsiaTheme="minorHAnsi" w:hAnsi="Gotham"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087033"/>
    <w:multiLevelType w:val="hybridMultilevel"/>
    <w:tmpl w:val="30BA9BBA"/>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4" w15:restartNumberingAfterBreak="0">
    <w:nsid w:val="6FDA56B2"/>
    <w:multiLevelType w:val="hybridMultilevel"/>
    <w:tmpl w:val="85F820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4BA494F"/>
    <w:multiLevelType w:val="hybridMultilevel"/>
    <w:tmpl w:val="44C6E722"/>
    <w:lvl w:ilvl="0" w:tplc="9AECFE66">
      <w:numFmt w:val="bullet"/>
      <w:lvlText w:val=""/>
      <w:lvlJc w:val="left"/>
      <w:pPr>
        <w:ind w:left="1125" w:hanging="765"/>
      </w:pPr>
      <w:rPr>
        <w:rFonts w:ascii="Gotham" w:eastAsiaTheme="minorHAnsi" w:hAnsi="Gotham"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0E69EE"/>
    <w:multiLevelType w:val="hybridMultilevel"/>
    <w:tmpl w:val="5372D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5BE434C"/>
    <w:multiLevelType w:val="hybridMultilevel"/>
    <w:tmpl w:val="DDA8F1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761A207F"/>
    <w:multiLevelType w:val="hybridMultilevel"/>
    <w:tmpl w:val="E3E6B1FE"/>
    <w:lvl w:ilvl="0" w:tplc="D27A14F2">
      <w:start w:val="1"/>
      <w:numFmt w:val="bullet"/>
      <w:lvlText w:val=""/>
      <w:lvlJc w:val="left"/>
      <w:pPr>
        <w:ind w:left="1854" w:hanging="93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76310530"/>
    <w:multiLevelType w:val="hybridMultilevel"/>
    <w:tmpl w:val="89C026E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77FC5791"/>
    <w:multiLevelType w:val="hybridMultilevel"/>
    <w:tmpl w:val="4E5E047A"/>
    <w:lvl w:ilvl="0" w:tplc="2AFA0DBA">
      <w:start w:val="1"/>
      <w:numFmt w:val="bullet"/>
      <w:pStyle w:val="Copybulletpoints"/>
      <w:lvlText w:val=""/>
      <w:lvlJc w:val="left"/>
      <w:pPr>
        <w:ind w:left="1854" w:hanging="93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7FED7D89"/>
    <w:multiLevelType w:val="hybridMultilevel"/>
    <w:tmpl w:val="AFF02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16"/>
  </w:num>
  <w:num w:numId="3">
    <w:abstractNumId w:val="1"/>
  </w:num>
  <w:num w:numId="4">
    <w:abstractNumId w:val="13"/>
  </w:num>
  <w:num w:numId="5">
    <w:abstractNumId w:val="28"/>
  </w:num>
  <w:num w:numId="6">
    <w:abstractNumId w:val="30"/>
  </w:num>
  <w:num w:numId="7">
    <w:abstractNumId w:val="3"/>
  </w:num>
  <w:num w:numId="8">
    <w:abstractNumId w:val="31"/>
  </w:num>
  <w:num w:numId="9">
    <w:abstractNumId w:val="2"/>
  </w:num>
  <w:num w:numId="10">
    <w:abstractNumId w:val="7"/>
  </w:num>
  <w:num w:numId="11">
    <w:abstractNumId w:val="25"/>
  </w:num>
  <w:num w:numId="12">
    <w:abstractNumId w:val="11"/>
  </w:num>
  <w:num w:numId="13">
    <w:abstractNumId w:val="27"/>
  </w:num>
  <w:num w:numId="14">
    <w:abstractNumId w:val="9"/>
  </w:num>
  <w:num w:numId="15">
    <w:abstractNumId w:val="22"/>
  </w:num>
  <w:num w:numId="16">
    <w:abstractNumId w:val="24"/>
  </w:num>
  <w:num w:numId="17">
    <w:abstractNumId w:val="12"/>
  </w:num>
  <w:num w:numId="18">
    <w:abstractNumId w:val="8"/>
  </w:num>
  <w:num w:numId="19">
    <w:abstractNumId w:val="14"/>
  </w:num>
  <w:num w:numId="20">
    <w:abstractNumId w:val="19"/>
  </w:num>
  <w:num w:numId="21">
    <w:abstractNumId w:val="20"/>
  </w:num>
  <w:num w:numId="22">
    <w:abstractNumId w:val="0"/>
  </w:num>
  <w:num w:numId="23">
    <w:abstractNumId w:val="26"/>
  </w:num>
  <w:num w:numId="24">
    <w:abstractNumId w:val="18"/>
  </w:num>
  <w:num w:numId="25">
    <w:abstractNumId w:val="21"/>
  </w:num>
  <w:num w:numId="26">
    <w:abstractNumId w:val="5"/>
  </w:num>
  <w:num w:numId="27">
    <w:abstractNumId w:val="4"/>
  </w:num>
  <w:num w:numId="28">
    <w:abstractNumId w:val="15"/>
  </w:num>
  <w:num w:numId="29">
    <w:abstractNumId w:val="10"/>
  </w:num>
  <w:num w:numId="30">
    <w:abstractNumId w:val="23"/>
  </w:num>
  <w:num w:numId="31">
    <w:abstractNumId w:val="17"/>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wNbYwszAwtTAxMzZW0lEKTi0uzszPAykwrAUAwdTFjiwAAAA="/>
  </w:docVars>
  <w:rsids>
    <w:rsidRoot w:val="00380C10"/>
    <w:rsid w:val="00016359"/>
    <w:rsid w:val="000256CA"/>
    <w:rsid w:val="00025E3E"/>
    <w:rsid w:val="00027E02"/>
    <w:rsid w:val="000426BA"/>
    <w:rsid w:val="00047E8F"/>
    <w:rsid w:val="00050821"/>
    <w:rsid w:val="00056474"/>
    <w:rsid w:val="00056E4E"/>
    <w:rsid w:val="00057666"/>
    <w:rsid w:val="000576CC"/>
    <w:rsid w:val="00064891"/>
    <w:rsid w:val="000652A7"/>
    <w:rsid w:val="00067680"/>
    <w:rsid w:val="00070198"/>
    <w:rsid w:val="00071D16"/>
    <w:rsid w:val="0007479C"/>
    <w:rsid w:val="000771A1"/>
    <w:rsid w:val="00084663"/>
    <w:rsid w:val="00087290"/>
    <w:rsid w:val="00092E01"/>
    <w:rsid w:val="000937E8"/>
    <w:rsid w:val="000966AC"/>
    <w:rsid w:val="000B3209"/>
    <w:rsid w:val="000B39CF"/>
    <w:rsid w:val="000C0A61"/>
    <w:rsid w:val="000C14AC"/>
    <w:rsid w:val="000C6498"/>
    <w:rsid w:val="000D14C9"/>
    <w:rsid w:val="000D2575"/>
    <w:rsid w:val="000D46EA"/>
    <w:rsid w:val="000D48AA"/>
    <w:rsid w:val="000D6F52"/>
    <w:rsid w:val="001154F5"/>
    <w:rsid w:val="00153609"/>
    <w:rsid w:val="00165095"/>
    <w:rsid w:val="00166B78"/>
    <w:rsid w:val="00166C56"/>
    <w:rsid w:val="00180AB0"/>
    <w:rsid w:val="00181D38"/>
    <w:rsid w:val="00184C79"/>
    <w:rsid w:val="00185E2A"/>
    <w:rsid w:val="00194B84"/>
    <w:rsid w:val="00197304"/>
    <w:rsid w:val="00197E60"/>
    <w:rsid w:val="001A0981"/>
    <w:rsid w:val="001A7567"/>
    <w:rsid w:val="001A768F"/>
    <w:rsid w:val="001B1549"/>
    <w:rsid w:val="001B4392"/>
    <w:rsid w:val="001B4AD2"/>
    <w:rsid w:val="001B7503"/>
    <w:rsid w:val="001C3AB6"/>
    <w:rsid w:val="001D3CFF"/>
    <w:rsid w:val="001E04B1"/>
    <w:rsid w:val="001E1497"/>
    <w:rsid w:val="001E1C48"/>
    <w:rsid w:val="001E7925"/>
    <w:rsid w:val="00204F2B"/>
    <w:rsid w:val="0021267E"/>
    <w:rsid w:val="00215222"/>
    <w:rsid w:val="00230700"/>
    <w:rsid w:val="00252E1F"/>
    <w:rsid w:val="002759ED"/>
    <w:rsid w:val="00281EC8"/>
    <w:rsid w:val="002849E4"/>
    <w:rsid w:val="00284B09"/>
    <w:rsid w:val="00287EC8"/>
    <w:rsid w:val="002A38BB"/>
    <w:rsid w:val="002B1D6B"/>
    <w:rsid w:val="002C2575"/>
    <w:rsid w:val="002C4760"/>
    <w:rsid w:val="002F64F6"/>
    <w:rsid w:val="002F6FC6"/>
    <w:rsid w:val="0030224A"/>
    <w:rsid w:val="00314AE3"/>
    <w:rsid w:val="003150C2"/>
    <w:rsid w:val="00315716"/>
    <w:rsid w:val="003174F5"/>
    <w:rsid w:val="003403AF"/>
    <w:rsid w:val="0034074F"/>
    <w:rsid w:val="0034335F"/>
    <w:rsid w:val="00346527"/>
    <w:rsid w:val="00351FC5"/>
    <w:rsid w:val="0035255D"/>
    <w:rsid w:val="00357A3B"/>
    <w:rsid w:val="00366FC1"/>
    <w:rsid w:val="0037129E"/>
    <w:rsid w:val="003734D9"/>
    <w:rsid w:val="00380C10"/>
    <w:rsid w:val="00386471"/>
    <w:rsid w:val="003933BF"/>
    <w:rsid w:val="003935BD"/>
    <w:rsid w:val="003A1A0F"/>
    <w:rsid w:val="003A288A"/>
    <w:rsid w:val="003A2B7C"/>
    <w:rsid w:val="003A56AA"/>
    <w:rsid w:val="003B691D"/>
    <w:rsid w:val="003D1B7B"/>
    <w:rsid w:val="003E21A5"/>
    <w:rsid w:val="003E6499"/>
    <w:rsid w:val="003E71B9"/>
    <w:rsid w:val="00417E5A"/>
    <w:rsid w:val="004262EB"/>
    <w:rsid w:val="00426F84"/>
    <w:rsid w:val="00444C26"/>
    <w:rsid w:val="004672E6"/>
    <w:rsid w:val="0047269A"/>
    <w:rsid w:val="00473121"/>
    <w:rsid w:val="004778CE"/>
    <w:rsid w:val="004801FB"/>
    <w:rsid w:val="00482EC9"/>
    <w:rsid w:val="00484827"/>
    <w:rsid w:val="00484B25"/>
    <w:rsid w:val="004C3820"/>
    <w:rsid w:val="004E0EF5"/>
    <w:rsid w:val="004E1651"/>
    <w:rsid w:val="004E1905"/>
    <w:rsid w:val="004F3BB0"/>
    <w:rsid w:val="005009AE"/>
    <w:rsid w:val="005045F4"/>
    <w:rsid w:val="00510063"/>
    <w:rsid w:val="00511C2C"/>
    <w:rsid w:val="00523D5C"/>
    <w:rsid w:val="00525C59"/>
    <w:rsid w:val="0053120F"/>
    <w:rsid w:val="00531D94"/>
    <w:rsid w:val="005334F4"/>
    <w:rsid w:val="005520BC"/>
    <w:rsid w:val="0055358F"/>
    <w:rsid w:val="00556EE7"/>
    <w:rsid w:val="00562D82"/>
    <w:rsid w:val="005666C9"/>
    <w:rsid w:val="00575BE6"/>
    <w:rsid w:val="00576A2E"/>
    <w:rsid w:val="005929DD"/>
    <w:rsid w:val="00593221"/>
    <w:rsid w:val="00595AE4"/>
    <w:rsid w:val="005974C9"/>
    <w:rsid w:val="00597A16"/>
    <w:rsid w:val="005A61F8"/>
    <w:rsid w:val="005B06A1"/>
    <w:rsid w:val="005B4EA3"/>
    <w:rsid w:val="005B5671"/>
    <w:rsid w:val="005B59F0"/>
    <w:rsid w:val="005C10E9"/>
    <w:rsid w:val="005C79F8"/>
    <w:rsid w:val="005D20A3"/>
    <w:rsid w:val="005D5568"/>
    <w:rsid w:val="005D6B41"/>
    <w:rsid w:val="005D784F"/>
    <w:rsid w:val="005E29FF"/>
    <w:rsid w:val="005F0D50"/>
    <w:rsid w:val="00601A49"/>
    <w:rsid w:val="00601FE7"/>
    <w:rsid w:val="00611551"/>
    <w:rsid w:val="00612A59"/>
    <w:rsid w:val="00623DC5"/>
    <w:rsid w:val="006255BD"/>
    <w:rsid w:val="00625748"/>
    <w:rsid w:val="006322DF"/>
    <w:rsid w:val="00632C92"/>
    <w:rsid w:val="006443C3"/>
    <w:rsid w:val="0064450D"/>
    <w:rsid w:val="00646C9D"/>
    <w:rsid w:val="0065157B"/>
    <w:rsid w:val="00651ADF"/>
    <w:rsid w:val="00660826"/>
    <w:rsid w:val="006610F8"/>
    <w:rsid w:val="00661C7C"/>
    <w:rsid w:val="0066714B"/>
    <w:rsid w:val="00683B12"/>
    <w:rsid w:val="00685327"/>
    <w:rsid w:val="006A1163"/>
    <w:rsid w:val="006A35A0"/>
    <w:rsid w:val="006A67E3"/>
    <w:rsid w:val="006B0235"/>
    <w:rsid w:val="006B5198"/>
    <w:rsid w:val="006B64EE"/>
    <w:rsid w:val="006C475C"/>
    <w:rsid w:val="006D59C8"/>
    <w:rsid w:val="006E365F"/>
    <w:rsid w:val="006F0146"/>
    <w:rsid w:val="006F2657"/>
    <w:rsid w:val="006F2E00"/>
    <w:rsid w:val="007008EF"/>
    <w:rsid w:val="007053D6"/>
    <w:rsid w:val="00714B0E"/>
    <w:rsid w:val="00717726"/>
    <w:rsid w:val="007269D5"/>
    <w:rsid w:val="00741417"/>
    <w:rsid w:val="0074417D"/>
    <w:rsid w:val="00747E3E"/>
    <w:rsid w:val="00774B52"/>
    <w:rsid w:val="007802B0"/>
    <w:rsid w:val="00781357"/>
    <w:rsid w:val="00782ECC"/>
    <w:rsid w:val="00782F71"/>
    <w:rsid w:val="007856FF"/>
    <w:rsid w:val="007A6FD8"/>
    <w:rsid w:val="007B232F"/>
    <w:rsid w:val="007D3263"/>
    <w:rsid w:val="007D586B"/>
    <w:rsid w:val="007D6D9C"/>
    <w:rsid w:val="007E3615"/>
    <w:rsid w:val="007E4520"/>
    <w:rsid w:val="007E4825"/>
    <w:rsid w:val="007F38D3"/>
    <w:rsid w:val="007F7F1C"/>
    <w:rsid w:val="00805A82"/>
    <w:rsid w:val="008065A4"/>
    <w:rsid w:val="008111EC"/>
    <w:rsid w:val="00815CA9"/>
    <w:rsid w:val="00817A37"/>
    <w:rsid w:val="0082406D"/>
    <w:rsid w:val="00827A79"/>
    <w:rsid w:val="00835B38"/>
    <w:rsid w:val="00836048"/>
    <w:rsid w:val="00842D85"/>
    <w:rsid w:val="008436FD"/>
    <w:rsid w:val="00844DFB"/>
    <w:rsid w:val="0084555B"/>
    <w:rsid w:val="00853CBB"/>
    <w:rsid w:val="00855760"/>
    <w:rsid w:val="00860D50"/>
    <w:rsid w:val="008618F7"/>
    <w:rsid w:val="008622F1"/>
    <w:rsid w:val="008622F7"/>
    <w:rsid w:val="0086263C"/>
    <w:rsid w:val="00865C65"/>
    <w:rsid w:val="00871CBB"/>
    <w:rsid w:val="0087526B"/>
    <w:rsid w:val="00881F90"/>
    <w:rsid w:val="008A4022"/>
    <w:rsid w:val="008C5BB7"/>
    <w:rsid w:val="008E147C"/>
    <w:rsid w:val="008F268E"/>
    <w:rsid w:val="008F55BF"/>
    <w:rsid w:val="00906281"/>
    <w:rsid w:val="009065AD"/>
    <w:rsid w:val="00924397"/>
    <w:rsid w:val="00926F42"/>
    <w:rsid w:val="00942122"/>
    <w:rsid w:val="00943BAF"/>
    <w:rsid w:val="00944C02"/>
    <w:rsid w:val="00950B8C"/>
    <w:rsid w:val="0095152F"/>
    <w:rsid w:val="0095375B"/>
    <w:rsid w:val="00954347"/>
    <w:rsid w:val="00957524"/>
    <w:rsid w:val="009622FE"/>
    <w:rsid w:val="00966946"/>
    <w:rsid w:val="00971DD3"/>
    <w:rsid w:val="0098595C"/>
    <w:rsid w:val="00986507"/>
    <w:rsid w:val="009869C4"/>
    <w:rsid w:val="009A3149"/>
    <w:rsid w:val="009B2D8A"/>
    <w:rsid w:val="009C002B"/>
    <w:rsid w:val="009C65EA"/>
    <w:rsid w:val="009D014A"/>
    <w:rsid w:val="009D78A8"/>
    <w:rsid w:val="009E51D2"/>
    <w:rsid w:val="009E75B1"/>
    <w:rsid w:val="00A022CF"/>
    <w:rsid w:val="00A214D4"/>
    <w:rsid w:val="00A22462"/>
    <w:rsid w:val="00A227FC"/>
    <w:rsid w:val="00A30231"/>
    <w:rsid w:val="00A4304A"/>
    <w:rsid w:val="00A538C7"/>
    <w:rsid w:val="00A62428"/>
    <w:rsid w:val="00A65514"/>
    <w:rsid w:val="00A65837"/>
    <w:rsid w:val="00A70065"/>
    <w:rsid w:val="00A7260B"/>
    <w:rsid w:val="00A75A15"/>
    <w:rsid w:val="00A77D9E"/>
    <w:rsid w:val="00A81564"/>
    <w:rsid w:val="00A824EA"/>
    <w:rsid w:val="00A90BB0"/>
    <w:rsid w:val="00A92B06"/>
    <w:rsid w:val="00AA0EB7"/>
    <w:rsid w:val="00AA6B4B"/>
    <w:rsid w:val="00AB2BBC"/>
    <w:rsid w:val="00AC1331"/>
    <w:rsid w:val="00AC4EEF"/>
    <w:rsid w:val="00AD1685"/>
    <w:rsid w:val="00AD426F"/>
    <w:rsid w:val="00AD4D7E"/>
    <w:rsid w:val="00AD4D93"/>
    <w:rsid w:val="00AD5FC5"/>
    <w:rsid w:val="00AE47E7"/>
    <w:rsid w:val="00AE6FAF"/>
    <w:rsid w:val="00AF29C7"/>
    <w:rsid w:val="00AF799A"/>
    <w:rsid w:val="00B17F93"/>
    <w:rsid w:val="00B2552C"/>
    <w:rsid w:val="00B42B26"/>
    <w:rsid w:val="00B44410"/>
    <w:rsid w:val="00B44F54"/>
    <w:rsid w:val="00B459B9"/>
    <w:rsid w:val="00B65C9D"/>
    <w:rsid w:val="00B77A6C"/>
    <w:rsid w:val="00B77FCB"/>
    <w:rsid w:val="00B856DA"/>
    <w:rsid w:val="00B85CB6"/>
    <w:rsid w:val="00B904EC"/>
    <w:rsid w:val="00B90951"/>
    <w:rsid w:val="00B9319D"/>
    <w:rsid w:val="00BA51E0"/>
    <w:rsid w:val="00BC0EE6"/>
    <w:rsid w:val="00BC6438"/>
    <w:rsid w:val="00BE56E3"/>
    <w:rsid w:val="00BF3488"/>
    <w:rsid w:val="00BF427B"/>
    <w:rsid w:val="00BF7E04"/>
    <w:rsid w:val="00C112AF"/>
    <w:rsid w:val="00C11A6C"/>
    <w:rsid w:val="00C162F4"/>
    <w:rsid w:val="00C26739"/>
    <w:rsid w:val="00C305E1"/>
    <w:rsid w:val="00C310F8"/>
    <w:rsid w:val="00C33D0D"/>
    <w:rsid w:val="00C45590"/>
    <w:rsid w:val="00C724F0"/>
    <w:rsid w:val="00C72CF0"/>
    <w:rsid w:val="00C77CFC"/>
    <w:rsid w:val="00C85344"/>
    <w:rsid w:val="00C87B5C"/>
    <w:rsid w:val="00C9519F"/>
    <w:rsid w:val="00CA32DF"/>
    <w:rsid w:val="00CA65A3"/>
    <w:rsid w:val="00CB6A38"/>
    <w:rsid w:val="00CC2A66"/>
    <w:rsid w:val="00CC5C6B"/>
    <w:rsid w:val="00CC7355"/>
    <w:rsid w:val="00CD2800"/>
    <w:rsid w:val="00CE036E"/>
    <w:rsid w:val="00CF0A59"/>
    <w:rsid w:val="00CF7DC9"/>
    <w:rsid w:val="00D04401"/>
    <w:rsid w:val="00D04405"/>
    <w:rsid w:val="00D14BC1"/>
    <w:rsid w:val="00D14FAB"/>
    <w:rsid w:val="00D1681E"/>
    <w:rsid w:val="00D215B8"/>
    <w:rsid w:val="00D218F5"/>
    <w:rsid w:val="00D22A00"/>
    <w:rsid w:val="00D245BE"/>
    <w:rsid w:val="00D3176E"/>
    <w:rsid w:val="00D33D23"/>
    <w:rsid w:val="00D34AC6"/>
    <w:rsid w:val="00D372F7"/>
    <w:rsid w:val="00D4096C"/>
    <w:rsid w:val="00D475BD"/>
    <w:rsid w:val="00D52897"/>
    <w:rsid w:val="00D55A8E"/>
    <w:rsid w:val="00D6484A"/>
    <w:rsid w:val="00D75489"/>
    <w:rsid w:val="00D826D8"/>
    <w:rsid w:val="00D971DE"/>
    <w:rsid w:val="00DB34BD"/>
    <w:rsid w:val="00DB4C3A"/>
    <w:rsid w:val="00DB6F01"/>
    <w:rsid w:val="00DC0D8A"/>
    <w:rsid w:val="00DC29CE"/>
    <w:rsid w:val="00DD1AB7"/>
    <w:rsid w:val="00DE49E1"/>
    <w:rsid w:val="00DE66D6"/>
    <w:rsid w:val="00DF093F"/>
    <w:rsid w:val="00DF0C8F"/>
    <w:rsid w:val="00E16277"/>
    <w:rsid w:val="00E27DAB"/>
    <w:rsid w:val="00E30440"/>
    <w:rsid w:val="00E361A9"/>
    <w:rsid w:val="00E37DD9"/>
    <w:rsid w:val="00E40877"/>
    <w:rsid w:val="00E80044"/>
    <w:rsid w:val="00E85EA8"/>
    <w:rsid w:val="00E90F87"/>
    <w:rsid w:val="00EA28B0"/>
    <w:rsid w:val="00EB06F8"/>
    <w:rsid w:val="00EB33CB"/>
    <w:rsid w:val="00EB64C8"/>
    <w:rsid w:val="00EC43BF"/>
    <w:rsid w:val="00ED3EE4"/>
    <w:rsid w:val="00ED55E0"/>
    <w:rsid w:val="00ED6ACE"/>
    <w:rsid w:val="00EE1593"/>
    <w:rsid w:val="00F05C4B"/>
    <w:rsid w:val="00F07372"/>
    <w:rsid w:val="00F10272"/>
    <w:rsid w:val="00F10F9E"/>
    <w:rsid w:val="00F14010"/>
    <w:rsid w:val="00F23EB0"/>
    <w:rsid w:val="00F23F95"/>
    <w:rsid w:val="00F2421E"/>
    <w:rsid w:val="00F24A5C"/>
    <w:rsid w:val="00F26DC3"/>
    <w:rsid w:val="00F275BF"/>
    <w:rsid w:val="00F313E7"/>
    <w:rsid w:val="00F316C5"/>
    <w:rsid w:val="00F31D9F"/>
    <w:rsid w:val="00F32082"/>
    <w:rsid w:val="00F35695"/>
    <w:rsid w:val="00F36D51"/>
    <w:rsid w:val="00F51186"/>
    <w:rsid w:val="00F54CCA"/>
    <w:rsid w:val="00F56B98"/>
    <w:rsid w:val="00F90494"/>
    <w:rsid w:val="00F91355"/>
    <w:rsid w:val="00F91EE0"/>
    <w:rsid w:val="00F9611B"/>
    <w:rsid w:val="00F97057"/>
    <w:rsid w:val="00FB20EE"/>
    <w:rsid w:val="00FB3F83"/>
    <w:rsid w:val="00FC448D"/>
    <w:rsid w:val="00FE02A5"/>
    <w:rsid w:val="00FE2FE0"/>
    <w:rsid w:val="00FF42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8171E"/>
  <w14:defaultImageDpi w14:val="32767"/>
  <w15:chartTrackingRefBased/>
  <w15:docId w15:val="{D4B65916-88D7-0F43-B4AA-E0F3E841B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347"/>
    <w:pPr>
      <w:spacing w:after="160" w:line="276" w:lineRule="auto"/>
    </w:pPr>
    <w:rPr>
      <w:rFonts w:ascii="Gotham" w:hAnsi="Gotham"/>
    </w:rPr>
  </w:style>
  <w:style w:type="paragraph" w:styleId="Heading1">
    <w:name w:val="heading 1"/>
    <w:basedOn w:val="H2"/>
    <w:next w:val="Normal"/>
    <w:link w:val="Heading1Char"/>
    <w:uiPriority w:val="9"/>
    <w:qFormat/>
    <w:rsid w:val="00087290"/>
    <w:pPr>
      <w:outlineLvl w:val="0"/>
    </w:pPr>
  </w:style>
  <w:style w:type="paragraph" w:styleId="Heading2">
    <w:name w:val="heading 2"/>
    <w:basedOn w:val="Normal"/>
    <w:next w:val="Normal"/>
    <w:link w:val="Heading2Char"/>
    <w:uiPriority w:val="9"/>
    <w:semiHidden/>
    <w:unhideWhenUsed/>
    <w:qFormat/>
    <w:rsid w:val="00A022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022C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A022C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2"/>
    <w:next w:val="Normal"/>
    <w:link w:val="TitleChar"/>
    <w:qFormat/>
    <w:rsid w:val="00EA28B0"/>
  </w:style>
  <w:style w:type="character" w:customStyle="1" w:styleId="TitleChar">
    <w:name w:val="Title Char"/>
    <w:basedOn w:val="DefaultParagraphFont"/>
    <w:link w:val="Title"/>
    <w:rsid w:val="00EA28B0"/>
    <w:rPr>
      <w:rFonts w:ascii="Gotham" w:hAnsi="Gotham"/>
      <w:color w:val="002664"/>
      <w:sz w:val="28"/>
      <w:szCs w:val="28"/>
      <w:lang w:val="en-AU"/>
    </w:rPr>
  </w:style>
  <w:style w:type="paragraph" w:styleId="Header">
    <w:name w:val="header"/>
    <w:basedOn w:val="Normal"/>
    <w:link w:val="HeaderChar"/>
    <w:uiPriority w:val="99"/>
    <w:unhideWhenUsed/>
    <w:rsid w:val="0030224A"/>
    <w:pPr>
      <w:tabs>
        <w:tab w:val="center" w:pos="4680"/>
        <w:tab w:val="right" w:pos="9360"/>
      </w:tabs>
    </w:pPr>
  </w:style>
  <w:style w:type="character" w:customStyle="1" w:styleId="HeaderChar">
    <w:name w:val="Header Char"/>
    <w:basedOn w:val="DefaultParagraphFont"/>
    <w:link w:val="Header"/>
    <w:uiPriority w:val="99"/>
    <w:rsid w:val="0030224A"/>
  </w:style>
  <w:style w:type="table" w:customStyle="1" w:styleId="Calendar">
    <w:name w:val="Calendar"/>
    <w:basedOn w:val="TableNormal"/>
    <w:uiPriority w:val="99"/>
    <w:rsid w:val="0030224A"/>
    <w:rPr>
      <w:sz w:val="22"/>
      <w:szCs w:val="22"/>
      <w:lang w:val="en-AU"/>
    </w:rPr>
    <w:tblPr/>
  </w:style>
  <w:style w:type="table" w:customStyle="1" w:styleId="EventsHeader">
    <w:name w:val="Events Header"/>
    <w:basedOn w:val="TableNormal"/>
    <w:uiPriority w:val="99"/>
    <w:rsid w:val="0030224A"/>
    <w:rPr>
      <w:sz w:val="22"/>
      <w:szCs w:val="22"/>
      <w:lang w:val="en-AU"/>
    </w:rPr>
    <w:tblPr/>
    <w:tblStylePr w:type="firstRow">
      <w:rPr>
        <w:rFonts w:ascii="Arial" w:hAnsi="Arial"/>
      </w:rPr>
    </w:tblStylePr>
  </w:style>
  <w:style w:type="paragraph" w:styleId="Footer">
    <w:name w:val="footer"/>
    <w:basedOn w:val="Normal"/>
    <w:link w:val="FooterChar"/>
    <w:uiPriority w:val="99"/>
    <w:unhideWhenUsed/>
    <w:rsid w:val="00380C10"/>
    <w:pPr>
      <w:tabs>
        <w:tab w:val="center" w:pos="4680"/>
        <w:tab w:val="right" w:pos="9360"/>
      </w:tabs>
    </w:pPr>
  </w:style>
  <w:style w:type="character" w:customStyle="1" w:styleId="FooterChar">
    <w:name w:val="Footer Char"/>
    <w:basedOn w:val="DefaultParagraphFont"/>
    <w:link w:val="Footer"/>
    <w:uiPriority w:val="99"/>
    <w:rsid w:val="00380C10"/>
  </w:style>
  <w:style w:type="paragraph" w:customStyle="1" w:styleId="H1">
    <w:name w:val="H1"/>
    <w:basedOn w:val="Normal"/>
    <w:qFormat/>
    <w:rsid w:val="001C3AB6"/>
    <w:pPr>
      <w:spacing w:after="240"/>
    </w:pPr>
    <w:rPr>
      <w:b/>
      <w:bCs/>
      <w:color w:val="002664"/>
      <w:sz w:val="28"/>
      <w:szCs w:val="100"/>
      <w:lang w:val="en-AU"/>
    </w:rPr>
  </w:style>
  <w:style w:type="paragraph" w:customStyle="1" w:styleId="H2">
    <w:name w:val="H2"/>
    <w:basedOn w:val="H1"/>
    <w:qFormat/>
    <w:rsid w:val="00F35695"/>
    <w:rPr>
      <w:b w:val="0"/>
      <w:bCs w:val="0"/>
      <w:szCs w:val="28"/>
    </w:rPr>
  </w:style>
  <w:style w:type="character" w:customStyle="1" w:styleId="Heading1Char">
    <w:name w:val="Heading 1 Char"/>
    <w:basedOn w:val="DefaultParagraphFont"/>
    <w:link w:val="Heading1"/>
    <w:uiPriority w:val="9"/>
    <w:rsid w:val="00087290"/>
    <w:rPr>
      <w:rFonts w:ascii="Gotham" w:hAnsi="Gotham"/>
      <w:color w:val="002664"/>
      <w:sz w:val="28"/>
      <w:szCs w:val="28"/>
      <w:lang w:val="en-AU"/>
    </w:rPr>
  </w:style>
  <w:style w:type="character" w:customStyle="1" w:styleId="Heading2Char">
    <w:name w:val="Heading 2 Char"/>
    <w:basedOn w:val="DefaultParagraphFont"/>
    <w:link w:val="Heading2"/>
    <w:uiPriority w:val="9"/>
    <w:semiHidden/>
    <w:rsid w:val="00A022C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022CF"/>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A022CF"/>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A824EA"/>
    <w:pPr>
      <w:tabs>
        <w:tab w:val="right" w:pos="10077"/>
      </w:tabs>
      <w:spacing w:before="240" w:after="120"/>
    </w:pPr>
    <w:rPr>
      <w:rFonts w:ascii="Gotham Book" w:hAnsi="Gotham Book" w:cstheme="minorHAnsi"/>
      <w:noProof/>
      <w:sz w:val="20"/>
      <w:u w:val="single"/>
    </w:rPr>
  </w:style>
  <w:style w:type="paragraph" w:styleId="TOC2">
    <w:name w:val="toc 2"/>
    <w:basedOn w:val="Normal"/>
    <w:next w:val="Normal"/>
    <w:autoRedefine/>
    <w:uiPriority w:val="39"/>
    <w:unhideWhenUsed/>
    <w:rsid w:val="00A824EA"/>
    <w:pPr>
      <w:spacing w:before="120"/>
      <w:ind w:left="240"/>
    </w:pPr>
    <w:rPr>
      <w:rFonts w:ascii="Gotham Book" w:hAnsi="Gotham Book" w:cstheme="minorHAnsi"/>
      <w:iCs/>
      <w:sz w:val="20"/>
    </w:rPr>
  </w:style>
  <w:style w:type="paragraph" w:styleId="TOC3">
    <w:name w:val="toc 3"/>
    <w:basedOn w:val="Normal"/>
    <w:next w:val="Normal"/>
    <w:autoRedefine/>
    <w:uiPriority w:val="39"/>
    <w:unhideWhenUsed/>
    <w:rsid w:val="00562D82"/>
    <w:pPr>
      <w:ind w:left="480"/>
    </w:pPr>
    <w:rPr>
      <w:rFonts w:cstheme="minorHAnsi"/>
      <w:sz w:val="20"/>
    </w:rPr>
  </w:style>
  <w:style w:type="paragraph" w:styleId="TOC4">
    <w:name w:val="toc 4"/>
    <w:basedOn w:val="Normal"/>
    <w:next w:val="Normal"/>
    <w:autoRedefine/>
    <w:uiPriority w:val="39"/>
    <w:unhideWhenUsed/>
    <w:rsid w:val="00A022CF"/>
    <w:pPr>
      <w:ind w:left="720"/>
    </w:pPr>
    <w:rPr>
      <w:rFonts w:cstheme="minorHAnsi"/>
      <w:sz w:val="20"/>
    </w:rPr>
  </w:style>
  <w:style w:type="paragraph" w:styleId="TOC5">
    <w:name w:val="toc 5"/>
    <w:basedOn w:val="Normal"/>
    <w:next w:val="Normal"/>
    <w:autoRedefine/>
    <w:uiPriority w:val="39"/>
    <w:unhideWhenUsed/>
    <w:rsid w:val="00A022CF"/>
    <w:pPr>
      <w:ind w:left="960"/>
    </w:pPr>
    <w:rPr>
      <w:rFonts w:cstheme="minorHAnsi"/>
      <w:sz w:val="20"/>
    </w:rPr>
  </w:style>
  <w:style w:type="paragraph" w:styleId="TOC6">
    <w:name w:val="toc 6"/>
    <w:basedOn w:val="Normal"/>
    <w:next w:val="Normal"/>
    <w:autoRedefine/>
    <w:uiPriority w:val="39"/>
    <w:unhideWhenUsed/>
    <w:rsid w:val="00A022CF"/>
    <w:pPr>
      <w:ind w:left="1200"/>
    </w:pPr>
    <w:rPr>
      <w:rFonts w:cstheme="minorHAnsi"/>
      <w:sz w:val="20"/>
    </w:rPr>
  </w:style>
  <w:style w:type="paragraph" w:styleId="TOC7">
    <w:name w:val="toc 7"/>
    <w:basedOn w:val="Normal"/>
    <w:next w:val="Normal"/>
    <w:autoRedefine/>
    <w:uiPriority w:val="39"/>
    <w:unhideWhenUsed/>
    <w:rsid w:val="00A022CF"/>
    <w:pPr>
      <w:ind w:left="1440"/>
    </w:pPr>
    <w:rPr>
      <w:rFonts w:cstheme="minorHAnsi"/>
      <w:sz w:val="20"/>
    </w:rPr>
  </w:style>
  <w:style w:type="paragraph" w:styleId="TOC8">
    <w:name w:val="toc 8"/>
    <w:basedOn w:val="Normal"/>
    <w:next w:val="Normal"/>
    <w:autoRedefine/>
    <w:uiPriority w:val="39"/>
    <w:unhideWhenUsed/>
    <w:rsid w:val="00A022CF"/>
    <w:pPr>
      <w:ind w:left="1680"/>
    </w:pPr>
    <w:rPr>
      <w:rFonts w:cstheme="minorHAnsi"/>
      <w:sz w:val="20"/>
    </w:rPr>
  </w:style>
  <w:style w:type="paragraph" w:styleId="TOC9">
    <w:name w:val="toc 9"/>
    <w:basedOn w:val="Normal"/>
    <w:next w:val="Normal"/>
    <w:autoRedefine/>
    <w:uiPriority w:val="39"/>
    <w:unhideWhenUsed/>
    <w:rsid w:val="00A022CF"/>
    <w:pPr>
      <w:ind w:left="1920"/>
    </w:pPr>
    <w:rPr>
      <w:rFonts w:cstheme="minorHAnsi"/>
      <w:sz w:val="20"/>
    </w:rPr>
  </w:style>
  <w:style w:type="character" w:styleId="Hyperlink">
    <w:name w:val="Hyperlink"/>
    <w:basedOn w:val="DefaultParagraphFont"/>
    <w:uiPriority w:val="99"/>
    <w:unhideWhenUsed/>
    <w:rsid w:val="00A022CF"/>
    <w:rPr>
      <w:color w:val="0563C1" w:themeColor="hyperlink"/>
      <w:u w:val="single"/>
    </w:rPr>
  </w:style>
  <w:style w:type="character" w:styleId="PageNumber">
    <w:name w:val="page number"/>
    <w:basedOn w:val="DefaultParagraphFont"/>
    <w:uiPriority w:val="99"/>
    <w:semiHidden/>
    <w:unhideWhenUsed/>
    <w:rsid w:val="00287EC8"/>
  </w:style>
  <w:style w:type="paragraph" w:customStyle="1" w:styleId="CopySubheading1">
    <w:name w:val="Copy Subheading 1"/>
    <w:basedOn w:val="Normal"/>
    <w:uiPriority w:val="99"/>
    <w:rsid w:val="004778CE"/>
    <w:pPr>
      <w:tabs>
        <w:tab w:val="left" w:pos="560"/>
      </w:tabs>
      <w:suppressAutoHyphens/>
      <w:autoSpaceDE w:val="0"/>
      <w:autoSpaceDN w:val="0"/>
      <w:adjustRightInd w:val="0"/>
      <w:spacing w:after="113" w:line="288" w:lineRule="auto"/>
      <w:textAlignment w:val="center"/>
    </w:pPr>
    <w:rPr>
      <w:rFonts w:ascii="Gotham Book" w:hAnsi="Gotham Book" w:cs="Gotham Book"/>
      <w:color w:val="E2173D"/>
      <w:sz w:val="28"/>
      <w:szCs w:val="28"/>
      <w:lang w:val="en-US"/>
    </w:rPr>
  </w:style>
  <w:style w:type="paragraph" w:customStyle="1" w:styleId="Copy">
    <w:name w:val="Copy"/>
    <w:basedOn w:val="Normal"/>
    <w:uiPriority w:val="99"/>
    <w:rsid w:val="004778CE"/>
    <w:pPr>
      <w:suppressAutoHyphens/>
      <w:autoSpaceDE w:val="0"/>
      <w:autoSpaceDN w:val="0"/>
      <w:adjustRightInd w:val="0"/>
      <w:spacing w:after="113" w:line="288" w:lineRule="auto"/>
      <w:textAlignment w:val="center"/>
    </w:pPr>
    <w:rPr>
      <w:rFonts w:ascii="Gotham Book" w:hAnsi="Gotham Book" w:cs="Gotham Book"/>
      <w:color w:val="000000"/>
      <w:sz w:val="21"/>
      <w:szCs w:val="21"/>
      <w:lang w:val="en-US"/>
    </w:rPr>
  </w:style>
  <w:style w:type="paragraph" w:customStyle="1" w:styleId="Copybulletpoints">
    <w:name w:val="Copy bullet points"/>
    <w:basedOn w:val="Copy"/>
    <w:uiPriority w:val="99"/>
    <w:rsid w:val="002B1D6B"/>
    <w:pPr>
      <w:numPr>
        <w:numId w:val="6"/>
      </w:numPr>
      <w:tabs>
        <w:tab w:val="left" w:pos="284"/>
        <w:tab w:val="left" w:pos="620"/>
      </w:tabs>
      <w:ind w:left="567" w:hanging="363"/>
    </w:pPr>
  </w:style>
  <w:style w:type="paragraph" w:customStyle="1" w:styleId="Copynumberbulletpoints">
    <w:name w:val="Copy number bullet points"/>
    <w:basedOn w:val="Copy"/>
    <w:uiPriority w:val="99"/>
    <w:rsid w:val="004778CE"/>
    <w:pPr>
      <w:tabs>
        <w:tab w:val="left" w:pos="283"/>
      </w:tabs>
      <w:ind w:left="850" w:hanging="283"/>
    </w:pPr>
  </w:style>
  <w:style w:type="table" w:styleId="TableGrid">
    <w:name w:val="Table Grid"/>
    <w:basedOn w:val="TableNormal"/>
    <w:uiPriority w:val="39"/>
    <w:rsid w:val="00484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H2"/>
    <w:qFormat/>
    <w:rsid w:val="00484827"/>
    <w:pPr>
      <w:tabs>
        <w:tab w:val="right" w:pos="8505"/>
      </w:tabs>
      <w:jc w:val="center"/>
    </w:pPr>
    <w:rPr>
      <w:rFonts w:ascii="Gotham Bold" w:hAnsi="Gotham Bold"/>
      <w:b/>
      <w:color w:val="FFFFFF" w:themeColor="background1"/>
      <w:sz w:val="18"/>
      <w:szCs w:val="18"/>
    </w:rPr>
  </w:style>
  <w:style w:type="paragraph" w:styleId="BalloonText">
    <w:name w:val="Balloon Text"/>
    <w:basedOn w:val="Normal"/>
    <w:link w:val="BalloonTextChar"/>
    <w:uiPriority w:val="99"/>
    <w:semiHidden/>
    <w:unhideWhenUsed/>
    <w:rsid w:val="00A81564"/>
    <w:rPr>
      <w:rFonts w:ascii="Segoe UI" w:hAnsi="Segoe UI" w:cs="Segoe UI"/>
      <w:sz w:val="18"/>
      <w:szCs w:val="18"/>
      <w:lang w:val="en-AU"/>
    </w:rPr>
  </w:style>
  <w:style w:type="character" w:customStyle="1" w:styleId="BalloonTextChar">
    <w:name w:val="Balloon Text Char"/>
    <w:basedOn w:val="DefaultParagraphFont"/>
    <w:link w:val="BalloonText"/>
    <w:uiPriority w:val="99"/>
    <w:semiHidden/>
    <w:rsid w:val="00A81564"/>
    <w:rPr>
      <w:rFonts w:ascii="Segoe UI" w:hAnsi="Segoe UI" w:cs="Segoe UI"/>
      <w:sz w:val="18"/>
      <w:szCs w:val="18"/>
      <w:lang w:val="en-AU"/>
    </w:rPr>
  </w:style>
  <w:style w:type="paragraph" w:customStyle="1" w:styleId="CopySubheading2">
    <w:name w:val="Copy Subheading 2"/>
    <w:basedOn w:val="Copy"/>
    <w:qFormat/>
    <w:rsid w:val="003933BF"/>
    <w:rPr>
      <w:b/>
      <w:color w:val="002664"/>
    </w:rPr>
  </w:style>
  <w:style w:type="paragraph" w:styleId="TOCHeading">
    <w:name w:val="TOC Heading"/>
    <w:basedOn w:val="Heading1"/>
    <w:next w:val="Normal"/>
    <w:uiPriority w:val="39"/>
    <w:unhideWhenUsed/>
    <w:qFormat/>
    <w:rsid w:val="00180AB0"/>
    <w:pPr>
      <w:spacing w:before="480"/>
      <w:outlineLvl w:val="9"/>
    </w:pPr>
    <w:rPr>
      <w:rFonts w:ascii="Gotham Medium" w:hAnsi="Gotham Medium"/>
      <w:bCs/>
      <w:sz w:val="80"/>
      <w:lang w:val="en-US"/>
    </w:rPr>
  </w:style>
  <w:style w:type="character" w:styleId="Strong">
    <w:name w:val="Strong"/>
    <w:basedOn w:val="DefaultParagraphFont"/>
    <w:uiPriority w:val="22"/>
    <w:qFormat/>
    <w:rsid w:val="00CC2A66"/>
    <w:rPr>
      <w:b/>
      <w:bCs/>
    </w:rPr>
  </w:style>
  <w:style w:type="paragraph" w:styleId="NoSpacing">
    <w:name w:val="No Spacing"/>
    <w:uiPriority w:val="1"/>
    <w:qFormat/>
    <w:rsid w:val="00087290"/>
  </w:style>
  <w:style w:type="paragraph" w:styleId="BodyText">
    <w:name w:val="Body Text"/>
    <w:basedOn w:val="Normal"/>
    <w:link w:val="BodyTextChar"/>
    <w:rsid w:val="00827A79"/>
    <w:pPr>
      <w:spacing w:line="360" w:lineRule="auto"/>
    </w:pPr>
    <w:rPr>
      <w:rFonts w:ascii="Arial" w:eastAsia="Times New Roman" w:hAnsi="Arial" w:cs="Arial"/>
      <w:sz w:val="28"/>
      <w:lang w:val="en-US"/>
    </w:rPr>
  </w:style>
  <w:style w:type="character" w:customStyle="1" w:styleId="BodyTextChar">
    <w:name w:val="Body Text Char"/>
    <w:basedOn w:val="DefaultParagraphFont"/>
    <w:link w:val="BodyText"/>
    <w:rsid w:val="00827A79"/>
    <w:rPr>
      <w:rFonts w:ascii="Arial" w:eastAsia="Times New Roman" w:hAnsi="Arial" w:cs="Arial"/>
      <w:sz w:val="28"/>
      <w:lang w:val="en-US"/>
    </w:rPr>
  </w:style>
  <w:style w:type="paragraph" w:styleId="ListParagraph">
    <w:name w:val="List Paragraph"/>
    <w:aliases w:val="standard lewis,Recommendation,List Paragraph1,List Paragraph11,Brief List Paragraph 1,DDM Gen Text,Body Numbering,Use Case List Paragraph,List 1),Bullet List Paragraph,Bullet Lists,Bullet Lists1,Bullet Lists2,Bullet Lists3,Bullet Lists4"/>
    <w:basedOn w:val="Normal"/>
    <w:link w:val="ListParagraphChar"/>
    <w:uiPriority w:val="34"/>
    <w:qFormat/>
    <w:rsid w:val="00827A79"/>
    <w:pPr>
      <w:ind w:left="720"/>
      <w:contextualSpacing/>
    </w:pPr>
  </w:style>
  <w:style w:type="character" w:customStyle="1" w:styleId="ListParagraphChar">
    <w:name w:val="List Paragraph Char"/>
    <w:aliases w:val="standard lewis Char,Recommendation Char,List Paragraph1 Char,List Paragraph11 Char,Brief List Paragraph 1 Char,DDM Gen Text Char,Body Numbering Char,Use Case List Paragraph Char,List 1) Char,Bullet List Paragraph Char"/>
    <w:basedOn w:val="DefaultParagraphFont"/>
    <w:link w:val="ListParagraph"/>
    <w:uiPriority w:val="34"/>
    <w:locked/>
    <w:rsid w:val="00F26DC3"/>
    <w:rPr>
      <w:rFonts w:ascii="Gotham" w:hAnsi="Gotham"/>
    </w:rPr>
  </w:style>
  <w:style w:type="paragraph" w:customStyle="1" w:styleId="Default">
    <w:name w:val="Default"/>
    <w:rsid w:val="00314AE3"/>
    <w:pPr>
      <w:autoSpaceDE w:val="0"/>
      <w:autoSpaceDN w:val="0"/>
      <w:adjustRightInd w:val="0"/>
    </w:pPr>
    <w:rPr>
      <w:rFonts w:ascii="Arial" w:hAnsi="Arial" w:cs="Arial"/>
      <w:color w:val="000000"/>
      <w:lang w:val="en-AU"/>
    </w:rPr>
  </w:style>
  <w:style w:type="paragraph" w:styleId="FootnoteText">
    <w:name w:val="footnote text"/>
    <w:aliases w:val="(NECG) Footnote Text,Fußnote,ALTS FOOTNOTE"/>
    <w:basedOn w:val="Normal"/>
    <w:link w:val="FootnoteTextChar"/>
    <w:rsid w:val="00511C2C"/>
    <w:rPr>
      <w:rFonts w:ascii="Times New Roman" w:eastAsia="Times New Roman" w:hAnsi="Times New Roman" w:cs="Times New Roman"/>
      <w:sz w:val="20"/>
      <w:szCs w:val="20"/>
      <w:lang w:val="en-AU" w:eastAsia="en-AU"/>
    </w:rPr>
  </w:style>
  <w:style w:type="character" w:customStyle="1" w:styleId="FootnoteTextChar">
    <w:name w:val="Footnote Text Char"/>
    <w:aliases w:val="(NECG) Footnote Text Char,Fußnote Char,ALTS FOOTNOTE Char"/>
    <w:basedOn w:val="DefaultParagraphFont"/>
    <w:link w:val="FootnoteText"/>
    <w:rsid w:val="00511C2C"/>
    <w:rPr>
      <w:rFonts w:ascii="Times New Roman" w:eastAsia="Times New Roman" w:hAnsi="Times New Roman" w:cs="Times New Roman"/>
      <w:sz w:val="20"/>
      <w:szCs w:val="20"/>
      <w:lang w:val="en-AU" w:eastAsia="en-AU"/>
    </w:rPr>
  </w:style>
  <w:style w:type="character" w:styleId="FootnoteReference">
    <w:name w:val="footnote reference"/>
    <w:aliases w:val="(NECG) Footnote Reference"/>
    <w:uiPriority w:val="99"/>
    <w:rsid w:val="00511C2C"/>
    <w:rPr>
      <w:rFonts w:ascii="Verdana" w:hAnsi="Verdana" w:cs="Verdana"/>
      <w:sz w:val="21"/>
      <w:szCs w:val="21"/>
      <w:vertAlign w:val="superscript"/>
      <w:lang w:val="en-US" w:eastAsia="en-US" w:bidi="ar-SA"/>
    </w:rPr>
  </w:style>
  <w:style w:type="paragraph" w:customStyle="1" w:styleId="m9001683492169875775msolistparagraph">
    <w:name w:val="m_9001683492169875775msolistparagraph"/>
    <w:basedOn w:val="Normal"/>
    <w:uiPriority w:val="99"/>
    <w:rsid w:val="005929DD"/>
    <w:pPr>
      <w:spacing w:before="100" w:beforeAutospacing="1" w:after="100" w:afterAutospacing="1"/>
    </w:pPr>
    <w:rPr>
      <w:rFonts w:ascii="Times New Roman" w:hAnsi="Times New Roman" w:cs="Times New Roman"/>
      <w:lang w:val="en-AU" w:eastAsia="en-AU"/>
    </w:rPr>
  </w:style>
  <w:style w:type="character" w:styleId="CommentReference">
    <w:name w:val="annotation reference"/>
    <w:basedOn w:val="DefaultParagraphFont"/>
    <w:uiPriority w:val="99"/>
    <w:semiHidden/>
    <w:unhideWhenUsed/>
    <w:rsid w:val="00FE02A5"/>
    <w:rPr>
      <w:sz w:val="16"/>
      <w:szCs w:val="16"/>
    </w:rPr>
  </w:style>
  <w:style w:type="paragraph" w:styleId="CommentText">
    <w:name w:val="annotation text"/>
    <w:basedOn w:val="Normal"/>
    <w:link w:val="CommentTextChar"/>
    <w:uiPriority w:val="99"/>
    <w:unhideWhenUsed/>
    <w:rsid w:val="00FE02A5"/>
    <w:rPr>
      <w:sz w:val="20"/>
      <w:szCs w:val="20"/>
    </w:rPr>
  </w:style>
  <w:style w:type="character" w:customStyle="1" w:styleId="CommentTextChar">
    <w:name w:val="Comment Text Char"/>
    <w:basedOn w:val="DefaultParagraphFont"/>
    <w:link w:val="CommentText"/>
    <w:uiPriority w:val="99"/>
    <w:rsid w:val="00FE02A5"/>
    <w:rPr>
      <w:rFonts w:ascii="Gotham" w:hAnsi="Gotham"/>
      <w:sz w:val="20"/>
      <w:szCs w:val="20"/>
    </w:rPr>
  </w:style>
  <w:style w:type="paragraph" w:styleId="CommentSubject">
    <w:name w:val="annotation subject"/>
    <w:basedOn w:val="CommentText"/>
    <w:next w:val="CommentText"/>
    <w:link w:val="CommentSubjectChar"/>
    <w:uiPriority w:val="99"/>
    <w:semiHidden/>
    <w:unhideWhenUsed/>
    <w:rsid w:val="00FE02A5"/>
    <w:rPr>
      <w:b/>
      <w:bCs/>
    </w:rPr>
  </w:style>
  <w:style w:type="character" w:customStyle="1" w:styleId="CommentSubjectChar">
    <w:name w:val="Comment Subject Char"/>
    <w:basedOn w:val="CommentTextChar"/>
    <w:link w:val="CommentSubject"/>
    <w:uiPriority w:val="99"/>
    <w:semiHidden/>
    <w:rsid w:val="00FE02A5"/>
    <w:rPr>
      <w:rFonts w:ascii="Gotham" w:hAnsi="Gotham"/>
      <w:b/>
      <w:bCs/>
      <w:sz w:val="20"/>
      <w:szCs w:val="20"/>
    </w:rPr>
  </w:style>
  <w:style w:type="paragraph" w:styleId="Revision">
    <w:name w:val="Revision"/>
    <w:hidden/>
    <w:uiPriority w:val="99"/>
    <w:semiHidden/>
    <w:rsid w:val="00782F71"/>
    <w:rPr>
      <w:rFonts w:ascii="Gotham" w:hAnsi="Goth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239460">
      <w:bodyDiv w:val="1"/>
      <w:marLeft w:val="0"/>
      <w:marRight w:val="0"/>
      <w:marTop w:val="0"/>
      <w:marBottom w:val="0"/>
      <w:divBdr>
        <w:top w:val="none" w:sz="0" w:space="0" w:color="auto"/>
        <w:left w:val="none" w:sz="0" w:space="0" w:color="auto"/>
        <w:bottom w:val="none" w:sz="0" w:space="0" w:color="auto"/>
        <w:right w:val="none" w:sz="0" w:space="0" w:color="auto"/>
      </w:divBdr>
    </w:div>
    <w:div w:id="1010062155">
      <w:bodyDiv w:val="1"/>
      <w:marLeft w:val="0"/>
      <w:marRight w:val="0"/>
      <w:marTop w:val="0"/>
      <w:marBottom w:val="0"/>
      <w:divBdr>
        <w:top w:val="none" w:sz="0" w:space="0" w:color="auto"/>
        <w:left w:val="none" w:sz="0" w:space="0" w:color="auto"/>
        <w:bottom w:val="none" w:sz="0" w:space="0" w:color="auto"/>
        <w:right w:val="none" w:sz="0" w:space="0" w:color="auto"/>
      </w:divBdr>
    </w:div>
    <w:div w:id="211347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BIZLINK\DHS\FACS\FCS\CL4\UNITS\CPP-DATA\IEI%20-%20Targeted%20Early%20Intervention%20(TEI)\DEX%20fact%20sheets\Tip%20Sheets%20-%20drafts\The%20Data%20Exchange%20Protocols" TargetMode="External"/><Relationship Id="rId13" Type="http://schemas.openxmlformats.org/officeDocument/2006/relationships/hyperlink" Target="https://www.oaic.gov.au/privacy/australian-privacy-principles-guidelines/chapter-5-app-5-notification-of-the-collection-of-personal-informatio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ex.dss.gov.au/document/8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s.nsw.gov.au/download?file=72501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ex.dss.gov.au/document/676"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ex.dss.gov.au/document/536" TargetMode="External"/><Relationship Id="rId14" Type="http://schemas.openxmlformats.org/officeDocument/2006/relationships/hyperlink" Target="https://dex.dss.gov.au/document/1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0186CBBB-40F8-4DF4-8D38-EB0B8E972F5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541C4C1B</Template>
  <TotalTime>0</TotalTime>
  <Pages>8</Pages>
  <Words>2214</Words>
  <Characters>12620</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Local Recommisioning Plan</vt:lpstr>
    </vt:vector>
  </TitlesOfParts>
  <Manager/>
  <Company/>
  <LinksUpToDate>false</LinksUpToDate>
  <CharactersWithSpaces>14805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Recommisioning Plan</dc:title>
  <dc:subject/>
  <dc:creator>Claudia Iacovella</dc:creator>
  <cp:keywords/>
  <dc:description/>
  <cp:lastModifiedBy>Kathleen Blair</cp:lastModifiedBy>
  <cp:revision>2</cp:revision>
  <cp:lastPrinted>2019-09-30T22:55:00Z</cp:lastPrinted>
  <dcterms:created xsi:type="dcterms:W3CDTF">2020-03-19T02:12:00Z</dcterms:created>
  <dcterms:modified xsi:type="dcterms:W3CDTF">2020-03-19T02:12:00Z</dcterms:modified>
  <cp:category/>
</cp:coreProperties>
</file>